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7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ind w:firstLine="3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           </w:t>
      </w:r>
      <w:r/>
    </w:p>
    <w:p>
      <w:pPr>
        <w:pStyle w:val="772"/>
        <w:jc w:val="center"/>
        <w:spacing w:line="360" w:lineRule="auto"/>
        <w:rPr>
          <w:rFonts w:hint="eastAsia" w:ascii="宋体" w:hAnsi="宋体" w:eastAsia="宋体" w:cs="宋体"/>
          <w:b/>
          <w:color w:val="000000" w:themeColor="text1"/>
          <w:spacing w:val="76"/>
          <w:sz w:val="96"/>
          <w:szCs w:val="22"/>
          <w:highlight w:val="none"/>
          <w14:textFill>
            <w14:solidFill>
              <w14:schemeClr w14:val="tx1"/>
            </w14:solidFill>
          </w14:textFill>
        </w:rPr>
      </w:pPr>
      <w:r>
        <w:rPr>
          <w:rFonts w:hint="eastAsia" w:ascii="宋体" w:hAnsi="宋体" w:eastAsia="宋体" w:cs="宋体"/>
          <w:color w:val="000000" w:themeColor="text1"/>
          <w:spacing w:val="76"/>
          <w:sz w:val="144"/>
          <w:highlight w:val="none"/>
          <w14:textFill>
            <w14:solidFill>
              <w14:schemeClr w14:val="tx1"/>
            </w14:solidFill>
          </w14:textFill>
        </w:rPr>
        <w:t xml:space="preserve">招标文件</w:t>
      </w:r>
      <w:r/>
    </w:p>
    <w:p>
      <w:pPr>
        <w:pStyle w:val="77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574800" cy="1421130"/>
                <wp:effectExtent l="0" t="0" r="6350" b="7620"/>
                <wp:docPr id="1" name="图片 10" descr="17b9c55175d8c2cf54fd0e2bdc7d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17b9c55175d8c2cf54fd0e2bdc7d733"/>
                        <pic:cNvPicPr>
                          <a:picLocks noChangeAspect="1"/>
                        </pic:cNvPicPr>
                        <pic:nvPr/>
                      </pic:nvPicPr>
                      <pic:blipFill>
                        <a:blip r:embed="rId17"/>
                        <a:srcRect l="18790" t="18192" r="13956" b="3432"/>
                        <a:stretch/>
                      </pic:blipFill>
                      <pic:spPr bwMode="auto">
                        <a:xfrm>
                          <a:off x="0" y="0"/>
                          <a:ext cx="1574800" cy="142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4.0pt;height:111.9pt;mso-wrap-distance-left:0.0pt;mso-wrap-distance-top:0.0pt;mso-wrap-distance-right:0.0pt;mso-wrap-distance-bottom:0.0pt;" stroked="false">
                <v:path textboxrect="0,0,0,0"/>
                <v:imagedata r:id="rId17" o:title=""/>
              </v:shape>
            </w:pict>
          </mc:Fallback>
        </mc:AlternateContent>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ind w:hanging="1506"/>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772"/>
        <w:ind w:left="2706" w:hanging="1506"/>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残疾儿童康复训练功能室建设及康复设施设备采购项目</w:t>
      </w:r>
      <w:r/>
    </w:p>
    <w:p>
      <w:pPr>
        <w:pStyle w:val="772"/>
        <w:ind w:firstLine="1205"/>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JSZC-320300-JSJP-G2025-0012</w:t>
      </w:r>
      <w:r/>
    </w:p>
    <w:p>
      <w:pPr>
        <w:pStyle w:val="772"/>
        <w:ind w:firstLine="1205"/>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auto"/>
          <w:sz w:val="30"/>
          <w:szCs w:val="30"/>
          <w:highlight w:val="none"/>
        </w:rPr>
        <w:t xml:space="preserve">招 标 人：</w:t>
      </w:r>
      <w:r>
        <w:rPr>
          <w:rFonts w:hint="eastAsia" w:ascii="宋体" w:hAnsi="宋体" w:cs="宋体"/>
          <w:b/>
          <w:bCs/>
          <w:color w:val="auto"/>
          <w:sz w:val="30"/>
          <w:szCs w:val="30"/>
          <w:highlight w:val="none"/>
          <w:lang w:eastAsia="zh-CN"/>
        </w:rPr>
        <w:t xml:space="preserve">徐州市残疾人综合服务中</w:t>
      </w:r>
      <w:r>
        <w:rPr>
          <w:rFonts w:hint="eastAsia" w:ascii="宋体" w:hAnsi="宋体" w:cs="宋体"/>
          <w:b/>
          <w:bCs/>
          <w:color w:val="000000" w:themeColor="text1"/>
          <w:sz w:val="30"/>
          <w:szCs w:val="30"/>
          <w:highlight w:val="none"/>
          <w:lang w:eastAsia="zh-CN"/>
          <w14:textFill>
            <w14:solidFill>
              <w14:schemeClr w14:val="tx1"/>
            </w14:solidFill>
          </w14:textFill>
        </w:rPr>
        <w:t xml:space="preserve">心</w:t>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ind w:firstLine="1205"/>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采购代理机构：</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江苏金普工程咨询有限公司</w:t>
      </w:r>
      <w:r/>
    </w:p>
    <w:p>
      <w:pPr>
        <w:pStyle w:val="885"/>
        <w:ind w:firstLine="0"/>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二〇二</w:t>
      </w:r>
      <w:r>
        <w:rPr>
          <w:rFonts w:hint="eastAsia" w:ascii="宋体" w:hAnsi="宋体" w:cs="宋体"/>
          <w:b/>
          <w:bCs/>
          <w:color w:val="000000" w:themeColor="text1"/>
          <w:sz w:val="30"/>
          <w:szCs w:val="30"/>
          <w:highlight w:val="none"/>
          <w:lang w:eastAsia="zh-CN"/>
          <w14:textFill>
            <w14:solidFill>
              <w14:schemeClr w14:val="tx1"/>
            </w14:solidFill>
          </w14:textFill>
        </w:rPr>
        <w:t xml:space="preserve">五</w:t>
      </w:r>
      <w:r>
        <w:rPr>
          <w:rFonts w:hint="eastAsia" w:ascii="宋体" w:hAnsi="宋体" w:eastAsia="宋体" w:cs="宋体"/>
          <w:b/>
          <w:bCs/>
          <w:color w:val="000000" w:themeColor="text1"/>
          <w:sz w:val="30"/>
          <w:szCs w:val="30"/>
          <w:highlight w:val="none"/>
          <w14:textFill>
            <w14:solidFill>
              <w14:schemeClr w14:val="tx1"/>
            </w14:solidFill>
          </w14:textFill>
        </w:rPr>
        <w:t xml:space="preserve">年</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十一</w:t>
      </w:r>
      <w:r>
        <w:rPr>
          <w:rFonts w:hint="eastAsia" w:ascii="宋体" w:hAnsi="宋体" w:eastAsia="宋体" w:cs="宋体"/>
          <w:b/>
          <w:bCs/>
          <w:color w:val="000000" w:themeColor="text1"/>
          <w:sz w:val="30"/>
          <w:szCs w:val="30"/>
          <w:highlight w:val="none"/>
          <w14:textFill>
            <w14:solidFill>
              <w14:schemeClr w14:val="tx1"/>
            </w14:solidFill>
          </w14:textFill>
        </w:rPr>
        <w:t xml:space="preserve">月</w:t>
      </w:r>
      <w:r/>
    </w:p>
    <w:p>
      <w:pPr>
        <w:pStyle w:val="885"/>
        <w:ind w:firstLine="0"/>
        <w:spacing w:line="360" w:lineRule="auto"/>
        <w:rPr>
          <w:rFonts w:hint="eastAsia" w:ascii="宋体" w:hAnsi="宋体" w:eastAsia="宋体" w:cs="宋体"/>
          <w:b/>
          <w:color w:val="000000" w:themeColor="text1"/>
          <w:sz w:val="44"/>
          <w:highlight w:val="none"/>
          <w14:textFill>
            <w14:solidFill>
              <w14:schemeClr w14:val="tx1"/>
            </w14:solidFill>
          </w14:textFill>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eastAsia="宋体" w:cs="宋体"/>
          <w:b/>
          <w:color w:val="000000" w:themeColor="text1"/>
          <w:sz w:val="44"/>
          <w:highlight w:val="none"/>
          <w14:textFill>
            <w14:solidFill>
              <w14:schemeClr w14:val="tx1"/>
            </w14:solidFill>
          </w14:textFill>
        </w:rPr>
      </w:r>
      <w:r/>
    </w:p>
    <w:p>
      <w:pPr>
        <w:pStyle w:val="885"/>
        <w:ind w:firstLine="0"/>
        <w:jc w:val="center"/>
        <w:spacing w:line="360" w:lineRule="auto"/>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t xml:space="preserve">总目录</w:t>
      </w:r>
      <w:r/>
    </w:p>
    <w:p>
      <w:pPr>
        <w:pStyle w:val="885"/>
        <w:ind w:firstLine="0"/>
        <w:spacing w:line="360" w:lineRule="auto"/>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第一章 投标邀请</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第二章 投标人须知</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第三章 投标资料表</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第四章 评标标准</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第五章 拟签订的合同文本</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第六章 采购需求</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lang w:eastAsia="zh-CN"/>
          <w14:textFill>
            <w14:solidFill>
              <w14:schemeClr w14:val="tx1"/>
            </w14:solidFill>
          </w14:textFill>
        </w:rPr>
        <w:t xml:space="preserve">徐州市残疾人综合服务中心</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lang w:eastAsia="zh-CN"/>
          <w14:textFill>
            <w14:solidFill>
              <w14:schemeClr w14:val="tx1"/>
            </w14:solidFill>
          </w14:textFill>
        </w:rPr>
        <w:t xml:space="preserve">残疾儿童康复训练功能室建设及康复设施设备采购项目</w:t>
      </w:r>
      <w:r>
        <w:rPr>
          <w:rFonts w:hint="eastAsia" w:ascii="宋体" w:hAnsi="宋体" w:eastAsia="宋体" w:cs="宋体"/>
          <w:b/>
          <w:color w:val="000000" w:themeColor="text1"/>
          <w:sz w:val="36"/>
          <w:szCs w:val="36"/>
          <w:highlight w:val="none"/>
          <w14:textFill>
            <w14:solidFill>
              <w14:schemeClr w14:val="tx1"/>
            </w14:solidFill>
          </w14:textFill>
        </w:rPr>
        <w:t xml:space="preserve">》招标文件</w:t>
      </w:r>
      <w:r/>
    </w:p>
    <w:p>
      <w:pPr>
        <w:jc w:val="both"/>
        <w:spacing w:line="360" w:lineRule="auto"/>
        <w:rPr>
          <w:rFonts w:hint="eastAsia" w:ascii="宋体" w:hAnsi="宋体" w:eastAsia="宋体" w:cs="宋体"/>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highlight w:val="none"/>
          <w14:textFill>
            <w14:solidFill>
              <w14:schemeClr w14:val="tx1"/>
            </w14:solidFill>
          </w14:textFill>
        </w:rPr>
        <w:t xml:space="preserve">    </w:t>
      </w:r>
      <w:r/>
    </w:p>
    <w:p>
      <w:pPr>
        <w:ind w:firstLine="600"/>
        <w:jc w:val="both"/>
        <w:spacing w:line="360" w:lineRule="auto"/>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第一章  投标邀请</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江苏金普工程咨询有限公司受</w:t>
      </w:r>
      <w:r>
        <w:rPr>
          <w:rFonts w:hint="eastAsia" w:ascii="宋体" w:hAnsi="宋体" w:cs="宋体"/>
          <w:color w:val="000000" w:themeColor="text1"/>
          <w:sz w:val="24"/>
          <w:highlight w:val="none"/>
          <w:lang w:eastAsia="zh-CN"/>
          <w14:textFill>
            <w14:solidFill>
              <w14:schemeClr w14:val="tx1"/>
            </w14:solidFill>
          </w14:textFill>
        </w:rPr>
        <w:t xml:space="preserve">徐州市残疾人综合服务中心</w:t>
      </w:r>
      <w:r>
        <w:rPr>
          <w:rFonts w:hint="eastAsia" w:ascii="宋体" w:hAnsi="宋体" w:eastAsia="宋体" w:cs="宋体"/>
          <w:color w:val="000000" w:themeColor="text1"/>
          <w:sz w:val="24"/>
          <w:highlight w:val="none"/>
          <w:lang w:eastAsia="zh-CN"/>
          <w14:textFill>
            <w14:solidFill>
              <w14:schemeClr w14:val="tx1"/>
            </w14:solidFill>
          </w14:textFill>
        </w:rPr>
        <w:t xml:space="preserve">委托，</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残疾儿童康复训练功能室建设及康复设施设备采购项目</w:t>
      </w:r>
      <w:r>
        <w:rPr>
          <w:rFonts w:hint="eastAsia" w:ascii="宋体" w:hAnsi="宋体" w:eastAsia="宋体" w:cs="宋体"/>
          <w:color w:val="000000" w:themeColor="text1"/>
          <w:sz w:val="24"/>
          <w:highlight w:val="none"/>
          <w14:textFill>
            <w14:solidFill>
              <w14:schemeClr w14:val="tx1"/>
            </w14:solidFill>
          </w14:textFill>
        </w:rPr>
        <w:t xml:space="preserve">进行公开招标采购，现欢迎符合相关条件的供应商投标。</w:t>
      </w:r>
      <w:r/>
    </w:p>
    <w:p>
      <w:pPr>
        <w:pStyle w:val="7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一、项目名称和项目编号</w:t>
      </w:r>
      <w:r/>
    </w:p>
    <w:p>
      <w:pPr>
        <w:pStyle w:val="7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残疾儿童康复训练功能室建设及康复设施设备采购项目</w:t>
      </w:r>
      <w:r/>
    </w:p>
    <w:p>
      <w:pPr>
        <w:pStyle w:val="7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JSZC-320300-JSJP-G2025-0012</w:t>
      </w:r>
      <w:r/>
    </w:p>
    <w:p>
      <w:pPr>
        <w:pStyle w:val="7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二、投标人的资格要求：</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见本项目公开招标公告。</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三、获取招标文件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1、潜在投标人访问电子招标投标交易平台的网络地址和方法：</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（2）潜在投标人访问“苏采云”系统的网络地址和方法：</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“苏采云”系统的网址：http://jszfcg.jsczt.cn/；或进入徐州政府采购网（网址：http://czj.xz.gov.cn/Home/HomeIndex）--业务工作--用户登录，点击“苏采云”进入系统。</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（3）“CA数字证书”的获取：</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“CA数字证书”的获取：</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（5）招标代理机构（采购代理机构）将数据电文形式的招标文件加载至“苏采云”系统，供潜在投标人下载或者查阅。</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（6）苏采云系统使用谷歌浏览器参与不见面开标。</w:t>
      </w:r>
      <w:r/>
    </w:p>
    <w:p>
      <w:pPr>
        <w:pStyle w:val="772"/>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2．招标文件</w:t>
      </w:r>
      <w:r>
        <w:rPr>
          <w:rFonts w:hint="eastAsia" w:ascii="宋体" w:hAnsi="宋体" w:eastAsia="宋体" w:cs="宋体"/>
          <w:color w:val="000000" w:themeColor="text1"/>
          <w:sz w:val="24"/>
          <w:highlight w:val="none"/>
        </w:rPr>
        <w:t xml:space="preserve">售价：免费</w:t>
      </w:r>
      <w:r>
        <w:rPr>
          <w:color w:val="000000" w:themeColor="text1"/>
        </w:rPr>
      </w:r>
    </w:p>
    <w:p>
      <w:pPr>
        <w:pStyle w:val="772"/>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四、投标有关信息</w:t>
      </w:r>
      <w:r>
        <w:rPr>
          <w:color w:val="000000" w:themeColor="text1"/>
        </w:rPr>
      </w:r>
    </w:p>
    <w:p>
      <w:pPr>
        <w:pStyle w:val="772"/>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1.投标截止时间：202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12</w:t>
      </w:r>
      <w:r>
        <w:rPr>
          <w:rFonts w:hint="eastAsia" w:ascii="宋体" w:hAnsi="宋体" w:eastAsia="宋体" w:cs="宋体"/>
          <w:color w:val="000000" w:themeColor="text1"/>
          <w:sz w:val="24"/>
          <w:highlight w:val="none"/>
        </w:rPr>
        <w:t xml:space="preserve">月11</w:t>
      </w:r>
      <w:r>
        <w:rPr>
          <w:rFonts w:hint="eastAsia" w:ascii="宋体" w:hAnsi="宋体" w:eastAsia="宋体" w:cs="宋体"/>
          <w:color w:val="000000" w:themeColor="text1"/>
          <w:sz w:val="24"/>
          <w:highlight w:val="none"/>
        </w:rPr>
        <w:t xml:space="preserve">日北京时间9：30</w:t>
      </w:r>
      <w:r>
        <w:rPr>
          <w:color w:val="000000" w:themeColor="text1"/>
        </w:rPr>
      </w:r>
    </w:p>
    <w:p>
      <w:pPr>
        <w:pStyle w:val="772"/>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2.开标时间：202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年1</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月11</w:t>
      </w:r>
      <w:r>
        <w:rPr>
          <w:rFonts w:hint="eastAsia" w:ascii="宋体" w:hAnsi="宋体" w:eastAsia="宋体" w:cs="宋体"/>
          <w:color w:val="000000" w:themeColor="text1"/>
          <w:sz w:val="24"/>
          <w:highlight w:val="none"/>
        </w:rPr>
        <w:t xml:space="preserve">日北京时间9：30</w:t>
      </w:r>
      <w:r>
        <w:rPr>
          <w:color w:val="000000" w:themeColor="text1"/>
        </w:rP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3.开标地点：“苏采云”系统（网址：http://jszfcg.jsczt.cn/）“开标大厅”或进入徐州政府采购网（网址：http://czj.xz.gov.cn/Home/HomeIndex）-业务工作-用户登录，点击“苏采云”进入系统“开标大厅”。</w:t>
      </w:r>
      <w:r/>
    </w:p>
    <w:p>
      <w:pPr>
        <w:pStyle w:val="7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五</w:t>
      </w:r>
      <w:r>
        <w:rPr>
          <w:rFonts w:hint="eastAsia" w:ascii="宋体" w:hAnsi="宋体" w:eastAsia="宋体" w:cs="宋体"/>
          <w:color w:val="auto"/>
          <w:sz w:val="24"/>
          <w:highlight w:val="none"/>
        </w:rPr>
        <w:t xml:space="preserve">、采购人</w:t>
      </w:r>
      <w:r/>
    </w:p>
    <w:p>
      <w:pPr>
        <w:pStyle w:val="7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1．名称：</w:t>
      </w:r>
      <w:r>
        <w:rPr>
          <w:rFonts w:hint="eastAsia" w:ascii="宋体" w:hAnsi="宋体" w:cs="宋体"/>
          <w:color w:val="auto"/>
          <w:sz w:val="24"/>
          <w:highlight w:val="none"/>
          <w:lang w:eastAsia="zh-CN"/>
        </w:rPr>
        <w:t xml:space="preserve">徐州市残疾人综合服务中心</w:t>
      </w:r>
      <w:r/>
    </w:p>
    <w:p>
      <w:pPr>
        <w:pStyle w:val="772"/>
        <w:ind w:firstLine="480"/>
        <w:spacing w:line="360" w:lineRule="auto"/>
        <w:rPr>
          <w:rFonts w:hint="default" w:ascii="宋体" w:hAnsi="宋体" w:cs="宋体"/>
          <w:color w:val="auto"/>
          <w:sz w:val="24"/>
          <w:highlight w:val="none"/>
        </w:rPr>
      </w:pPr>
      <w:r>
        <w:rPr>
          <w:rFonts w:hint="eastAsia" w:ascii="宋体" w:hAnsi="宋体" w:eastAsia="宋体" w:cs="宋体"/>
          <w:color w:val="auto"/>
          <w:sz w:val="24"/>
          <w:highlight w:val="none"/>
        </w:rPr>
        <w:t xml:space="preserve">2．地址：</w:t>
      </w:r>
      <w:r>
        <w:rPr>
          <w:rFonts w:hint="eastAsia" w:ascii="宋体" w:hAnsi="宋体" w:cs="宋体"/>
          <w:color w:val="auto"/>
          <w:sz w:val="24"/>
          <w:highlight w:val="none"/>
          <w:lang w:val="en-US" w:eastAsia="zh-CN"/>
        </w:rPr>
        <w:t xml:space="preserve"> 徐州市云龙区明正路18号</w:t>
      </w:r>
      <w:r/>
    </w:p>
    <w:p>
      <w:pPr>
        <w:pStyle w:val="7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3．联系电话：</w:t>
      </w:r>
      <w:r>
        <w:rPr>
          <w:rFonts w:hint="eastAsia" w:ascii="宋体" w:hAnsi="宋体" w:cs="宋体"/>
          <w:color w:val="auto"/>
          <w:sz w:val="24"/>
          <w:highlight w:val="none"/>
          <w:lang w:val="en-US" w:eastAsia="zh-CN"/>
        </w:rPr>
        <w:t xml:space="preserve">0516-67568608 </w:t>
      </w:r>
      <w:r/>
    </w:p>
    <w:p>
      <w:pPr>
        <w:pStyle w:val="7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采购项目联系人：</w:t>
      </w:r>
      <w:r>
        <w:rPr>
          <w:rFonts w:hint="eastAsia" w:ascii="宋体" w:hAnsi="宋体" w:cs="宋体"/>
          <w:color w:val="auto"/>
          <w:sz w:val="24"/>
          <w:highlight w:val="none"/>
          <w:lang w:val="en-US" w:eastAsia="zh-CN"/>
        </w:rPr>
        <w:t xml:space="preserve">牛康康</w:t>
      </w:r>
      <w:r>
        <w:rPr>
          <w:rFonts w:hint="eastAsia" w:ascii="宋体" w:hAnsi="宋体" w:eastAsia="宋体" w:cs="宋体"/>
          <w:color w:val="auto"/>
          <w:sz w:val="24"/>
          <w:highlight w:val="none"/>
        </w:rPr>
        <w:t xml:space="preserve"> </w:t>
      </w:r>
      <w:r/>
    </w:p>
    <w:p>
      <w:pPr>
        <w:pStyle w:val="7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1．名称：</w:t>
      </w:r>
      <w:r>
        <w:rPr>
          <w:rFonts w:hint="eastAsia" w:ascii="宋体" w:hAnsi="宋体" w:eastAsia="宋体" w:cs="宋体"/>
          <w:color w:val="auto"/>
          <w:sz w:val="24"/>
          <w:highlight w:val="none"/>
          <w:lang w:eastAsia="zh-CN"/>
        </w:rPr>
        <w:t xml:space="preserve">江苏金普工程咨询有限公</w:t>
      </w:r>
      <w:r>
        <w:rPr>
          <w:rFonts w:hint="eastAsia" w:ascii="宋体" w:hAnsi="宋体" w:eastAsia="宋体" w:cs="宋体"/>
          <w:color w:val="000000" w:themeColor="text1"/>
          <w:sz w:val="24"/>
          <w:highlight w:val="none"/>
          <w:lang w:eastAsia="zh-CN"/>
          <w14:textFill>
            <w14:solidFill>
              <w14:schemeClr w14:val="tx1"/>
            </w14:solidFill>
          </w14:textFill>
        </w:rPr>
        <w:t xml:space="preserve">司</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徐州市下淀路E20创意园B栋三楼</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3．联系电话：</w:t>
      </w:r>
      <w:r>
        <w:rPr>
          <w:rFonts w:hint="eastAsia" w:ascii="宋体" w:hAnsi="宋体" w:cs="宋体"/>
          <w:color w:val="000000" w:themeColor="text1"/>
          <w:sz w:val="24"/>
          <w:highlight w:val="none"/>
          <w:lang w:val="en-US" w:eastAsia="zh-CN"/>
          <w14:textFill>
            <w14:solidFill>
              <w14:schemeClr w14:val="tx1"/>
            </w14:solidFill>
          </w14:textFill>
        </w:rPr>
        <w:t xml:space="preserve">0516-87893899</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采购项目联系人：</w:t>
      </w:r>
      <w:r>
        <w:rPr>
          <w:rFonts w:hint="eastAsia" w:ascii="宋体" w:hAnsi="宋体" w:cs="宋体"/>
          <w:color w:val="000000" w:themeColor="text1"/>
          <w:sz w:val="24"/>
          <w:highlight w:val="none"/>
          <w:lang w:eastAsia="zh-CN"/>
          <w14:textFill>
            <w14:solidFill>
              <w14:schemeClr w14:val="tx1"/>
            </w14:solidFill>
          </w14:textFill>
        </w:rPr>
        <w:t xml:space="preserve">宋宇静</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月 </w:t>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br w:type="page" w:clear="all"/>
      </w:r>
      <w:r>
        <w:rPr>
          <w:rFonts w:hint="eastAsia" w:ascii="宋体" w:hAnsi="宋体" w:eastAsia="宋体" w:cs="宋体"/>
          <w:color w:val="000000" w:themeColor="text1"/>
          <w:sz w:val="30"/>
          <w:szCs w:val="30"/>
          <w:highlight w:val="none"/>
          <w14:textFill>
            <w14:solidFill>
              <w14:schemeClr w14:val="tx1"/>
            </w14:solidFill>
          </w14:textFill>
        </w:rPr>
        <w:t xml:space="preserve">第二章  投标人须知</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目录</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一、总则</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二、招标</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三、投标</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四、开标、评标</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五、中标和合同</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六、询问和质疑</w:t>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14:textFill>
            <w14:solidFill>
              <w14:schemeClr w14:val="tx1"/>
            </w14:solidFill>
          </w14:textFill>
        </w:rPr>
        <w:t xml:space="preserve">一、总则</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采购人</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1.1采购人是指依法进行政府采购的国家机关、事业单位、团体组织。本项目采购人：见招标文件第三章《投标资料表》。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政府采购方式</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2.1政府采购货物和服务（以下简称货物服务）招标分为公开招标和邀请招标。本次采购采用的政府采购方式：见招标文件第三章《投标资料表》。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采购人应当在货物服务招标投标活动中落实节约能源、保护环境、扶持不发达地区和少数民族地区、促进中小企业发展等政府采购政策。</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采购人委托采购代理机构代理招标的，采购代理机构应当在采购人委托的范围内依法开展采购活动。本项目采购代理机构：见招标文件第三章《投标资料表》。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投标费用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 投标人应承担所有与准备和参加投标有关的费用，无论投标的结果如何，采购人和采购代理机构对上述费用不承担任何责任和义务。</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二、招标</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 招标文件的内容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7.1招标文件包括以下内容：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第一章 投标邀请</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第二章 投标人须知</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第三章 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第四章 评标标准</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第五章 拟签订的合同文本</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第六章 采购需求</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第七章 投标文件相关格式</w:t>
      </w:r>
      <w:r/>
    </w:p>
    <w:p>
      <w:pPr>
        <w:pStyle w:val="772"/>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采购需求：见招标文件第六章《采购需求》。</w:t>
      </w:r>
      <w:r/>
    </w:p>
    <w:p>
      <w:pPr>
        <w:pStyle w:val="772"/>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采购项目预算金额、最高限价</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采购项目预算金额：见招标文件第三章《投标资料表》。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 样品</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10.1本项目对样品的要求：见招标文件第三章《投标资料表》。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投标有效期</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11.1投标有效期从提交投标文件的截止之日起算。</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11.2投标有效期: 见招标文件第三章《投标资料表》。</w:t>
      </w:r>
      <w:r/>
    </w:p>
    <w:p>
      <w:pPr>
        <w:pStyle w:val="772"/>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招标文件售价</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12.1招标文件售价：见招标文件第三章《投标资料表》。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采购代理机构代理费用的收取标准和方式</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 采购代理机构代理费用的收取标准和方式：见招标文件第三章《投标资料表》。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 现场考察或者开标前答疑会</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在招标文件提供期限截止后。</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14.2 现场考察：见招标文件第三章《投标资料表》。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14.3 开标前答疑会：见招标文件第三章《投标资料表》。</w:t>
      </w:r>
      <w:r/>
    </w:p>
    <w:p>
      <w:pPr>
        <w:pStyle w:val="772"/>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 招标文件的澄清或者修改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 终止招标</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 投标人信用信息查询渠道及截止时点、信用信息查询记录和证据留存的具体方式、信用信息的使用规则等：见招标文件第三章《投标资料表》。</w:t>
      </w:r>
      <w:r/>
    </w:p>
    <w:p>
      <w:pPr>
        <w:pStyle w:val="772"/>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三、投标</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18. 投标人</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投标人，是指响应招标、参加投标竞争的法人、其他组织或者自然人。</w:t>
      </w:r>
      <w:r/>
    </w:p>
    <w:p>
      <w:pPr>
        <w:pStyle w:val="772"/>
        <w:ind w:firstLine="465"/>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 投标人应当遵循公平竞争的原则，不得恶意串通，不得妨碍其他投标人的竞争行为，不得损害采购人或者其他投标人的合法权益。</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投标人的资格要求：见招标文件第三章《投标资料表》。</w:t>
      </w:r>
      <w:r/>
    </w:p>
    <w:p>
      <w:pPr>
        <w:pStyle w:val="772"/>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 投标文件</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19.1 投标人应当按照招标文件的要求编制投标文件。投标文件应当对招标文件提出的要求和条件作出明确响应。</w:t>
      </w:r>
      <w:r/>
    </w:p>
    <w:p>
      <w:pPr>
        <w:pStyle w:val="772"/>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19.2 投标文件编制要求：见招标文件第三章《投标资料表》。</w:t>
      </w:r>
      <w:r/>
    </w:p>
    <w:p>
      <w:pPr>
        <w:pStyle w:val="771"/>
        <w:ind w:left="0" w:right="0"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19.3电子投标文件其他要求</w:t>
      </w:r>
      <w:r/>
    </w:p>
    <w:p>
      <w:pPr>
        <w:pStyle w:val="771"/>
        <w:ind w:left="0" w:right="0"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（1）电子招标投标交易平台（即“苏采云”系统）相关要求是本招标文件的组成部分。</w:t>
      </w:r>
      <w:r/>
    </w:p>
    <w:p>
      <w:pPr>
        <w:pStyle w:val="771"/>
        <w:ind w:left="0" w:right="0"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（2）投标人应对CA证书妥善保管，如被他人盗用投标，因此带来的结果均由投标人自行承担。</w:t>
      </w:r>
      <w:r/>
    </w:p>
    <w:p>
      <w:pPr>
        <w:pStyle w:val="771"/>
        <w:ind w:left="0" w:right="0"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（3）投标人应当对招标文件提出的实质性要求和条件作出实质性响应，并在电子投标系统逐条应答。</w:t>
      </w:r>
      <w:r/>
    </w:p>
    <w:p>
      <w:pPr>
        <w:pStyle w:val="771"/>
        <w:ind w:left="0" w:right="0"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72"/>
        <w:ind w:firstLine="24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19.4 投标文件的份数：见招标文件第三章《投标资料表》。</w:t>
      </w:r>
      <w:r/>
    </w:p>
    <w:p>
      <w:pPr>
        <w:pStyle w:val="772"/>
        <w:ind w:firstLine="24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19.5 投标文件的退还：见招标文件第三章《投标资料表》。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19.6 投标文件的密封、签署、盖章要求：见招标文件第三章《投标资料表》。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19.7投标文件中承诺的投标有效期应当不少于招标文件中载明的投标有效期。</w:t>
      </w:r>
      <w:r/>
    </w:p>
    <w:p>
      <w:pPr>
        <w:pStyle w:val="772"/>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19.8 投标人应当在招标文件要求提交投标文件的截止时间前，将投标文件提交至“苏采云”系统，逾期提交的投标文件，“苏采云”系统将自动拒收。各投标人应在规定时间内凭CA证书进行网上解密。</w:t>
      </w:r>
      <w:r/>
    </w:p>
    <w:p>
      <w:pPr>
        <w:pStyle w:val="772"/>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19.9 投标人在投标截止时间前，可以对所提交的投标文件进行补充、修改或者撤回。</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 投标报价要求</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20.1 投标人应按照招标文件的要求报出分项价格和总价。</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 投标人应按照招标文件的要求进行报价，如有偏离，应在《偏离表》中列出。</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20.3 </w:t>
      </w:r>
      <w:r>
        <w:rPr>
          <w:rFonts w:hint="eastAsia" w:ascii="宋体" w:hAnsi="宋体" w:eastAsia="宋体" w:cs="宋体"/>
          <w:bCs/>
          <w:color w:val="000000" w:themeColor="text1"/>
          <w:sz w:val="24"/>
          <w:highlight w:val="none"/>
          <w14:textFill>
            <w14:solidFill>
              <w14:schemeClr w14:val="tx1"/>
            </w14:solidFill>
          </w14:textFill>
        </w:rPr>
        <w:t xml:space="preserve">采购人不支付报价以外的任何费用。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20.4 投标人的投标报价在合同执行过程中是固定的，不得以任何理由予以变更。</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20.5投标人只能提交一个投标报价，提交2个以上投标报价的投标文件在符合性审查时按照投标无效处理。</w:t>
      </w:r>
      <w:r/>
    </w:p>
    <w:p>
      <w:pPr>
        <w:pStyle w:val="772"/>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20.6 </w:t>
      </w:r>
      <w:r>
        <w:rPr>
          <w:rFonts w:hint="eastAsia" w:ascii="宋体" w:hAnsi="宋体" w:eastAsia="宋体" w:cs="宋体"/>
          <w:bCs/>
          <w:color w:val="000000" w:themeColor="text1"/>
          <w:sz w:val="24"/>
          <w:highlight w:val="none"/>
          <w14:textFill>
            <w14:solidFill>
              <w14:schemeClr w14:val="tx1"/>
            </w14:solidFill>
          </w14:textFill>
        </w:rPr>
        <w:t xml:space="preserve">不接受超过采购项目预算金额的投标报价。具体</w:t>
      </w:r>
      <w:r>
        <w:rPr>
          <w:rFonts w:hint="eastAsia" w:ascii="宋体" w:hAnsi="宋体" w:eastAsia="宋体" w:cs="宋体"/>
          <w:color w:val="000000" w:themeColor="text1"/>
          <w:sz w:val="24"/>
          <w:highlight w:val="none"/>
          <w14:textFill>
            <w14:solidFill>
              <w14:schemeClr w14:val="tx1"/>
            </w14:solidFill>
          </w14:textFill>
        </w:rPr>
        <w:t xml:space="preserve">见招标文件第三章《投标资料表》</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72"/>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21.投标人不需交纳投标保证金。</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22.投标截止时间、投标文件开始接收时间、投标文件接收截止时间、投标文件的接收地点：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22.1投标截止时间：见招标文件第三章《投标资料表》。</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22.2投标文件开始接收时间、投标文件接收截止时间、投标文件的接收地点：见招标文件第三章《投标资料表》。</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 本项目不允许分包。</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 相同品牌产品投标</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 有下列情形之一的，视为投标人串通投标，其投标无效：</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（一）不同投标人的投标文件，由同一单位或者个人编制；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（二）</w:t>
      </w:r>
      <w:r>
        <w:rPr>
          <w:rFonts w:hint="eastAsia" w:ascii="宋体" w:hAnsi="宋体" w:eastAsia="宋体" w:cs="宋体"/>
          <w:color w:val="000000" w:themeColor="text1"/>
          <w:sz w:val="24"/>
          <w:highlight w:val="none"/>
          <w14:textFill>
            <w14:solidFill>
              <w14:schemeClr w14:val="tx1"/>
            </w14:solidFill>
          </w14:textFill>
        </w:rPr>
        <w:t xml:space="preserve">不同投标人委托同一单位或者个人办理投标事宜；</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    （三）</w:t>
      </w:r>
      <w:r>
        <w:rPr>
          <w:rFonts w:hint="eastAsia" w:ascii="宋体" w:hAnsi="宋体" w:eastAsia="宋体" w:cs="宋体"/>
          <w:color w:val="000000" w:themeColor="text1"/>
          <w:sz w:val="24"/>
          <w:highlight w:val="none"/>
          <w14:textFill>
            <w14:solidFill>
              <w14:schemeClr w14:val="tx1"/>
            </w14:solidFill>
          </w14:textFill>
        </w:rPr>
        <w:t xml:space="preserve">不同投标人的投标文件中，所载明的项目管理成员或联系人为同一人；</w:t>
      </w:r>
      <w:r/>
    </w:p>
    <w:p>
      <w:pPr>
        <w:pStyle w:val="772"/>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（四）</w:t>
      </w:r>
      <w:r>
        <w:rPr>
          <w:rFonts w:hint="eastAsia" w:ascii="宋体" w:hAnsi="宋体" w:eastAsia="宋体" w:cs="宋体"/>
          <w:color w:val="000000" w:themeColor="text1"/>
          <w:sz w:val="24"/>
          <w:highlight w:val="none"/>
          <w14:textFill>
            <w14:solidFill>
              <w14:schemeClr w14:val="tx1"/>
            </w14:solidFill>
          </w14:textFill>
        </w:rPr>
        <w:t xml:space="preserve">不同投标人的投标文件，异常一致或者投标报价呈规律性差异；</w:t>
      </w:r>
      <w:r/>
    </w:p>
    <w:p>
      <w:pPr>
        <w:pStyle w:val="772"/>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（五）</w:t>
      </w:r>
      <w:r>
        <w:rPr>
          <w:rFonts w:hint="eastAsia" w:ascii="宋体" w:hAnsi="宋体" w:eastAsia="宋体" w:cs="宋体"/>
          <w:color w:val="000000" w:themeColor="text1"/>
          <w:sz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四、开标、评标</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 开标</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26.1 开标应当在招标文件确定的提交投标文件截止时间的同一时间进行。开标地点应当为招标文件中预先确定的地点。开标时间及地点：见招标文件第三章《投标资料表》。</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26.2 开标由采购人或者采购代理机构主持，邀请投标人参加。</w:t>
      </w:r>
      <w:r/>
    </w:p>
    <w:p>
      <w:pPr>
        <w:pStyle w:val="772"/>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26.3所有投标单位凭CA证书在到达开标时间时，解密各自投标文件，由工作人员操作系统进行开标、并宣读各投标人的《开标一览表》；招标文件规定的需要宣布的内容：见招标文件第三章《投标资料表》。</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投标人不足3家的，不得开标。</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26.4开标过程应当由采购人或者采购代理机构负责记录，由参加开标的各投标人代表和相关工作人员签字确认后随采购文件一并存档。</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投标人未参加开标的，视同认可开标结果。</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27.评标</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27.1 公开招标采购项目开标结束后，采购人依法对投标人的资格进行审查。</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合格投标人不足3家的，不得评标。</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27.2 评标工作由采购代理机构负责组织，并履行下列职责：</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（一）核对评审专家身份和采购人代表授权函，对评审专家在政府采购活动中的职责履行情况予以记录，并及时将有关违法违规行为向财政部门报告；</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（二）宣布评标纪律；</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（三）公布投标人名单，告知评审专家应当回避的情形；</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（四）组织评标委员会推选评标组长，采购人代表不得担任组长；</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（五）在评标期间采取必要的通讯管理措施，保证评标活动不受外界干扰；</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（六）根据评标委员会的要求介绍政府采购相关政策法规、招标文件；</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（七）维护评标秩序，监督评标委员会依照招标文件规定的评标程序、方法和标准进行独立评审，及时制止和纠正采购人代表、评审专家的倾向性言论或者违法违规行为；</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（八）核对评标结果，有《</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政府采购</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（九）评审工作完成后，按照规定向评审专家支付劳务报酬和异地评审差旅费，不得向评审专家以外的其他人员支付评审劳务报酬；</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（十）处理与评标有关的其他事项。</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采购人可以在评标前说明项目背景和采购需求，说明内容不得含有歧视性、倾向性意见，不得超出招标文件所述范围。说明应当提交书面材料，并随采购文件一并存档。</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27.3 评标委员会负责具体评标事务，并独立履行下列职责：</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（一）审查、评价投标文件是否符合招标文件的商务、技术等实质性要求；</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（二）要求投标人对投标文件有关事项作出澄清或者说明；</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（三）对投标文件进行比较和评价；</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（四）确定中标候选人名单，以及根据采购人委托直接确定中标人；</w:t>
      </w:r>
      <w:r/>
    </w:p>
    <w:p>
      <w:pPr>
        <w:pStyle w:val="772"/>
        <w:ind w:firstLine="36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（五）向采购人、采购代理机构或者有关部门报告评标中发现的违法行为。</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 评标委员会应当对符合资格的投标人的投标文件进行符合性审查，以确定其是否满足招标文件的实质性要求。</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 对于投标文件中含义不明确、同类问题表述不一致或者有明显文字和计算错误的内容，评标委员会应当以书面形式要求投标人作出必要的澄清、说明或者补正。</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 评标委员会应当按照招标文件中规定的评标方法和标准，对符合性审查合格的投标文件进行商务和技术评估，综合比较与评价。</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评标方法、评标标准。 </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 评标方法分为最低评标价法和综合评分法。本项目的评标方法：见招标文件第三章《投标资料表》。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31.2 本项目的评标标准：见招标文件第四章《评标标准》。</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投标文件报价出现前后不一致的，除招标文件另有规定外，按照下列规定修正：</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（一）投标文件中开标一览表（报价表）内容与投标文件中相应内容不一致的，以开标一览表（报价表）为准；</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（二）大写金额和小写金额不一致的，以大写金额为准；</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（三）单价金额小数点或者百分比有明显错位的，以开标一览表的总价为准，并修改单价；</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（四）总价金额与按单价汇总金额不一致的，以单价金额计算结果为准。</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同时出现两种以上不一致的，按照前款规定的顺序修正。修正后的报价按照第29条第二款的规定经投标人确认后产生约束力，投标人不确认的，其投标无效。</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72"/>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 投标人存在下列情况之一的，投标无效:</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（一）投标文件未按招标文件要求签署、盖章的；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（二）不具备招标文件中规定的资格要求的；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（三）报价超过招标文件中规定的预算金额或者最高限价的；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（四）投标文件含有采购人不能接受的附加条件的；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（五）投标人未在规定时间内解密电子投标文件的；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（六）电子投标文件未按规定期限投标的；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（七）</w:t>
      </w:r>
      <w:r>
        <w:rPr>
          <w:rFonts w:hint="eastAsia" w:ascii="宋体" w:hAnsi="宋体" w:eastAsia="宋体" w:cs="宋体"/>
          <w:color w:val="000000" w:themeColor="text1"/>
          <w:sz w:val="24"/>
          <w:highlight w:val="none"/>
          <w14:textFill>
            <w14:solidFill>
              <w14:schemeClr w14:val="tx1"/>
            </w14:solidFill>
          </w14:textFill>
        </w:rPr>
        <w:t xml:space="preserve">投标文件未按招标文件规定的内容和要求填写的；没有在投标系统指定位置上传对应文件、材料的；</w:t>
      </w:r>
      <w:r/>
    </w:p>
    <w:p>
      <w:pPr>
        <w:pStyle w:val="772"/>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八</w:t>
      </w:r>
      <w:r>
        <w:rPr>
          <w:rFonts w:hint="eastAsia" w:ascii="宋体" w:hAnsi="宋体" w:eastAsia="宋体" w:cs="宋体"/>
          <w:color w:val="000000" w:themeColor="text1"/>
          <w:sz w:val="24"/>
          <w:highlight w:val="none"/>
          <w14:textFill>
            <w14:solidFill>
              <w14:schemeClr w14:val="tx1"/>
            </w14:solidFill>
          </w14:textFill>
        </w:rPr>
        <w:t xml:space="preserve">）不同投标人投标文件内容存在非正常一致、项目组成员出现同一人、投标文件中错误（ 或异常）一致或雷同、电子文档信息一致或雷同的、投标报价呈规律性差异的；</w:t>
      </w:r>
      <w:r/>
    </w:p>
    <w:p>
      <w:pPr>
        <w:pStyle w:val="772"/>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（九）</w:t>
      </w:r>
      <w:r>
        <w:rPr>
          <w:rFonts w:hint="eastAsia" w:ascii="宋体" w:hAnsi="宋体" w:eastAsia="宋体" w:cs="宋体"/>
          <w:color w:val="000000" w:themeColor="text1"/>
          <w:sz w:val="24"/>
          <w:highlight w:val="none"/>
          <w14:textFill>
            <w14:solidFill>
              <w14:schemeClr w14:val="tx1"/>
            </w14:solidFill>
          </w14:textFill>
        </w:rPr>
        <w:t xml:space="preserve">法律、法规和招标文件规定的其他无效情形。</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numPr>
          <w:ilvl w:val="0"/>
          <w:numId w:val="2"/>
        </w:numPr>
        <w:ind w:firstLine="482"/>
        <w:jc w:val="left"/>
        <w:keepLines w:val="0"/>
        <w:keepNext w:val="0"/>
        <w:pageBreakBefore w:val="0"/>
        <w:spacing w:after="0" w:line="360"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numPr>
          <w:ilvl w:val="0"/>
          <w:numId w:val="2"/>
        </w:numPr>
        <w:ind w:firstLine="482"/>
        <w:jc w:val="left"/>
        <w:keepLines w:val="0"/>
        <w:keepNext w:val="0"/>
        <w:pageBreakBefore w:val="0"/>
        <w:spacing w:after="0" w:line="360" w:lineRule="auto"/>
        <w:widowControl/>
        <w:rPr>
          <w:rFonts w:hint="eastAsia" w:ascii="宋体" w:hAnsi="宋体" w:eastAsia="宋体" w:cs="宋体"/>
          <w:b/>
          <w:bCs/>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2"/>
          <w:highlight w:val="none"/>
          <w:lang w:eastAsia="en-US"/>
        </w:rPr>
        <w:t xml:space="preserve">根据</w:t>
      </w:r>
      <w:r>
        <w:rPr>
          <w:rFonts w:hint="eastAsia" w:ascii="宋体" w:hAnsi="宋体" w:eastAsia="宋体" w:cs="宋体"/>
          <w:b/>
          <w:bCs/>
          <w:sz w:val="24"/>
          <w:szCs w:val="22"/>
          <w:highlight w:val="none"/>
          <w:lang w:eastAsia="zh-CN"/>
        </w:rPr>
        <w:t xml:space="preserve">徐</w:t>
      </w:r>
      <w:r>
        <w:rPr>
          <w:rFonts w:hint="eastAsia" w:ascii="宋体" w:hAnsi="宋体" w:eastAsia="宋体" w:cs="宋体"/>
          <w:b/>
          <w:bCs/>
          <w:sz w:val="24"/>
          <w:szCs w:val="22"/>
          <w:highlight w:val="none"/>
          <w:lang w:eastAsia="en-US"/>
        </w:rPr>
        <w:t xml:space="preserve">财购[2025]</w:t>
      </w:r>
      <w:r>
        <w:rPr>
          <w:rFonts w:hint="eastAsia" w:ascii="宋体" w:hAnsi="宋体" w:eastAsia="宋体" w:cs="宋体"/>
          <w:b/>
          <w:bCs/>
          <w:sz w:val="24"/>
          <w:szCs w:val="22"/>
          <w:highlight w:val="none"/>
          <w:lang w:val="en-US" w:eastAsia="zh-CN"/>
        </w:rPr>
        <w:t xml:space="preserve">17</w:t>
      </w:r>
      <w:r>
        <w:rPr>
          <w:rFonts w:hint="eastAsia" w:ascii="宋体" w:hAnsi="宋体" w:eastAsia="宋体" w:cs="宋体"/>
          <w:b/>
          <w:bCs/>
          <w:sz w:val="24"/>
          <w:szCs w:val="22"/>
          <w:highlight w:val="none"/>
          <w:lang w:eastAsia="en-US"/>
        </w:rPr>
        <w:t xml:space="preserve">号文件，评审过程中出现下列情形之一的，评审委员会应当启动异常低价投标(响应)审查程序:</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1.投标(响应)报价低于采购项目预算50%的，即投标(响应)报价&lt;采购项目预算×50%；</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2.投标(响应)报价低于采购项目最高限价45%的，即投标(响应)报价&lt;采购项目最高限价×45%；</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3.评审委员会认定的供应商报价过低、有可能影响产品质量或者不能诚信履约的其他情形。</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97"/>
        <w:jc w:val="left"/>
        <w:keepLines w:val="0"/>
        <w:keepNext w:val="0"/>
        <w:pageBreakBefore w:val="0"/>
        <w:spacing w:after="0" w:line="365" w:lineRule="auto"/>
        <w:widowControl/>
        <w:rPr>
          <w:rFonts w:hint="eastAsia" w:ascii="宋体" w:hAnsi="宋体" w:eastAsia="宋体" w:cs="宋体"/>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en-US"/>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91"/>
        <w:ind w:firstLine="480"/>
        <w:spacing w:line="360" w:lineRule="auto"/>
        <w:rPr>
          <w:rStyle w:val="1034"/>
          <w:rFonts w:hint="eastAsia" w:ascii="宋体" w:hAnsi="宋体"/>
          <w:b w:val="0"/>
          <w:bCs w:val="0"/>
          <w:color w:val="000000" w:themeColor="text1"/>
          <w:sz w:val="24"/>
          <w:highlight w:val="none"/>
          <w14:textFill>
            <w14:solidFill>
              <w14:schemeClr w14:val="tx1"/>
            </w14:solidFill>
          </w14:textFill>
        </w:rPr>
      </w:pPr>
      <w:r>
        <w:rPr>
          <w:rStyle w:val="1034"/>
          <w:rFonts w:hint="eastAsia" w:ascii="宋体" w:hAnsi="宋体"/>
          <w:b w:val="0"/>
          <w:bCs w:val="0"/>
          <w:color w:val="000000" w:themeColor="text1"/>
          <w:sz w:val="24"/>
          <w:highlight w:val="none"/>
          <w14:textFill>
            <w14:solidFill>
              <w14:schemeClr w14:val="tx1"/>
            </w14:solidFill>
          </w14:textFill>
        </w:rPr>
        <w:t xml:space="preserve">相关内容和要求见：《中华人民共和国政府采购法》、《中华人民共和国政府采购法实施条例》及徐财购[2025]17号文件。</w:t>
      </w:r>
      <w:r/>
    </w:p>
    <w:p>
      <w:pPr>
        <w:pStyle w:val="77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highlight w:val="none"/>
          <w14:textFill>
            <w14:solidFill>
              <w14:schemeClr w14:val="tx1"/>
            </w14:solidFill>
          </w14:textFill>
        </w:rPr>
        <w:t xml:space="preserve">.废标条款。</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出现下列情形之一的，应予废标：</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（一）符合专业条件的投标人或者对招标文件作实质响应的投标人不足三家的；</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（二）出现影响采购公正的违法、违规行为的；</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（三）投标人的报价均超过了采购预算，采购人不能支付的；</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（四）因重大变故，采购任务取消的。</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五、中标和合同</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 确定中标人</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.1 采购代理机构应当在评标结束后2个工作日内将评标报告送采购人。</w:t>
      </w:r>
      <w:r/>
    </w:p>
    <w:p>
      <w:pPr>
        <w:pStyle w:val="772"/>
        <w:ind w:firstLine="465"/>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39</w:t>
      </w:r>
      <w:r>
        <w:rPr>
          <w:rFonts w:hint="eastAsia" w:ascii="宋体" w:hAnsi="宋体" w:eastAsia="宋体" w:cs="宋体"/>
          <w:color w:val="000000" w:themeColor="text1"/>
          <w:sz w:val="24"/>
          <w:highlight w:val="none"/>
          <w14:textFill>
            <w14:solidFill>
              <w14:schemeClr w14:val="tx1"/>
            </w14:solidFill>
          </w14:textFill>
        </w:rPr>
        <w:t xml:space="preserve">.2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772"/>
        <w:ind w:firstLine="465"/>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z w:val="24"/>
          <w:highlight w:val="none"/>
          <w14:textFill>
            <w14:solidFill>
              <w14:schemeClr w14:val="tx1"/>
            </w14:solidFill>
          </w14:textFill>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 中标通知书发出后，采购人不得违法改变中标结果，中标人无正当理由不得放弃中标。</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.签订政府采购合同</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采购人不得向中标人提出任何不合理的要求作为签订合同的条件。</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.2中标或者成交投标人拒绝与采购人签订合同的，采购人可以按照评审报告推荐的中标或者成交候选人名单排序，确定下一候选人为中标或者成交投标人，也可以重新开展政府采购活动。</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.3 政府采购合同应当包括采购人与中标人的名称和住所、标的、数量、质量、价款或者报酬、履行期限及地点和方式、验收要求、违约责任、解决争议的方法等内容。</w:t>
      </w:r>
      <w:r/>
    </w:p>
    <w:p>
      <w:pPr>
        <w:pStyle w:val="772"/>
        <w:ind w:firstLine="480"/>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 采购人与中标人应当根据合同的约定依法履行合同义务。</w:t>
      </w:r>
      <w:r/>
    </w:p>
    <w:p>
      <w:pPr>
        <w:pStyle w:val="772"/>
        <w:ind w:firstLine="480"/>
        <w:spacing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政府采购合同的履行、违约责任和解决争议的方法等适用《中华人民共和国民法典》。</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六、询问和质疑</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4</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 询问和质疑</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both"/>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第三章  投标资料表</w:t>
      </w:r>
      <w:r/>
    </w:p>
    <w:p>
      <w:pPr>
        <w:pStyle w:val="903"/>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pStyle w:val="77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37"/>
        <w:tblW w:w="8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274"/>
      </w:tblGrid>
      <w:tr>
        <w:trPr>
          <w:jc w:val="center"/>
        </w:trPr>
        <w:tc>
          <w:tcPr>
            <w:tcW w:w="1368"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条款项号</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r>
      <w:tr>
        <w:trPr>
          <w:jc w:val="center"/>
        </w:trPr>
        <w:tc>
          <w:tcPr>
            <w:gridSpan w:val="2"/>
            <w:tcW w:w="8642" w:type="dxa"/>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一、总则</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徐州市残疾人综合服务中心</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采购人确定的采购项目属性：货物 </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eastAsia="宋体" w:cs="宋体"/>
                <w:color w:val="000000" w:themeColor="text1"/>
                <w:sz w:val="24"/>
                <w:highlight w:val="none"/>
                <w:lang w:eastAsia="zh-CN"/>
                <w14:textFill>
                  <w14:solidFill>
                    <w14:schemeClr w14:val="tx1"/>
                  </w14:solidFill>
                </w14:textFill>
              </w:rPr>
              <w:t xml:space="preserve">江苏金普工程咨询有限公司</w:t>
            </w:r>
            <w:r/>
          </w:p>
        </w:tc>
      </w:tr>
      <w:tr>
        <w:trPr>
          <w:jc w:val="center"/>
        </w:trPr>
        <w:tc>
          <w:tcPr>
            <w:gridSpan w:val="2"/>
            <w:tcW w:w="8642"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二、招标</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w:t>
            </w:r>
            <w:r/>
          </w:p>
        </w:tc>
        <w:tc>
          <w:tcPr>
            <w:tcW w:w="7274" w:type="dxa"/>
            <w:textDirection w:val="lrTb"/>
            <w:noWrap w:val="false"/>
          </w:tcPr>
          <w:p>
            <w:pPr>
              <w:pStyle w:val="772"/>
              <w:spacing w:before="120"/>
              <w:rPr>
                <w:rFonts w:hint="eastAsia" w:ascii="宋体" w:hAnsi="宋体" w:eastAsia="宋体" w:cs="宋体"/>
                <w:color w:val="auto"/>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采购项目预算金额</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37</w:t>
            </w:r>
            <w:r>
              <w:rPr>
                <w:rFonts w:hint="eastAsia" w:ascii="宋体" w:hAnsi="宋体" w:eastAsia="宋体" w:cs="宋体"/>
                <w:color w:val="auto"/>
                <w:sz w:val="24"/>
                <w:highlight w:val="none"/>
              </w:rPr>
              <w:t xml:space="preserve">万元</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lang w:eastAsia="zh-CN"/>
              </w:rPr>
              <w:t xml:space="preserve">采购项目最高投标限价：</w:t>
            </w:r>
            <w:r>
              <w:rPr>
                <w:rFonts w:hint="eastAsia" w:ascii="宋体" w:hAnsi="宋体" w:cs="宋体"/>
                <w:color w:val="auto"/>
                <w:sz w:val="24"/>
                <w:highlight w:val="none"/>
                <w:lang w:val="en-US" w:eastAsia="zh-CN"/>
              </w:rPr>
              <w:t xml:space="preserve">37万元，其中采购包1不接受超过22万元人民币的投标报价，采购包2不接受超过15万元人民币的投标报价。报价包括本项目的全部费用，采购人不再支付报价以外的任何费用</w:t>
            </w:r>
            <w:r>
              <w:rPr>
                <w:rFonts w:hint="eastAsia" w:ascii="宋体" w:hAnsi="宋体" w:cs="宋体"/>
                <w:color w:val="000000" w:themeColor="text1"/>
                <w:sz w:val="24"/>
                <w:highlight w:val="none"/>
                <w:lang w:val="en-US" w:eastAsia="zh-CN"/>
                <w14:textFill>
                  <w14:solidFill>
                    <w14:schemeClr w14:val="tx1"/>
                  </w14:solidFill>
                </w14:textFill>
              </w:rPr>
              <w:t xml:space="preserve">。</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本项目对样品的要求：无。</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投标有效期:90天。</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招标文件售价：免费。</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采购代理机构代理费用的收取标准和方式：招标代理服务费由中标人支付，标准见《招标代理服务收费标准》（见附件）。</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14.2</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现场考察：</w:t>
            </w:r>
            <w:r>
              <w:rPr>
                <w:rFonts w:hint="eastAsia" w:ascii="宋体" w:hAnsi="宋体" w:cs="宋体"/>
                <w:color w:val="000000" w:themeColor="text1"/>
                <w:sz w:val="24"/>
                <w:highlight w:val="none"/>
                <w:lang w:eastAsia="zh-CN"/>
                <w14:textFill>
                  <w14:solidFill>
                    <w14:schemeClr w14:val="tx1"/>
                  </w14:solidFill>
                </w14:textFill>
              </w:rPr>
              <w:t xml:space="preserve">自行</w:t>
            </w:r>
            <w:r>
              <w:rPr>
                <w:rFonts w:hint="eastAsia" w:ascii="宋体" w:hAnsi="宋体" w:eastAsia="宋体" w:cs="宋体"/>
                <w:color w:val="000000" w:themeColor="text1"/>
                <w:sz w:val="24"/>
                <w:highlight w:val="none"/>
                <w14:textFill>
                  <w14:solidFill>
                    <w14:schemeClr w14:val="tx1"/>
                  </w14:solidFill>
                </w14:textFill>
              </w:rPr>
              <w:t xml:space="preserve">现场考察。</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14.3</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开标前答疑会：不召开开标前答疑会。</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w:t>
            </w:r>
            <w:r/>
          </w:p>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15.2</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w:t>
            </w:r>
            <w:r/>
          </w:p>
        </w:tc>
        <w:tc>
          <w:tcPr>
            <w:tcW w:w="7274" w:type="dxa"/>
            <w:textDirection w:val="lrTb"/>
            <w:noWrap w:val="false"/>
          </w:tcPr>
          <w:p>
            <w:pPr>
              <w:pStyle w:val="772"/>
              <w:spacing w:before="120"/>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000000" w:themeColor="text1"/>
                <w:sz w:val="24"/>
                <w:highlight w:val="none"/>
                <w14:textFill>
                  <w14:solidFill>
                    <w14:schemeClr w14:val="tx1"/>
                  </w14:solidFill>
                </w14:textFill>
              </w:rPr>
              <w:t xml:space="preserve">发布本项目的“</w:t>
            </w:r>
            <w:r>
              <w:rPr>
                <w:rFonts w:hint="eastAsia" w:ascii="宋体" w:hAnsi="宋体" w:eastAsia="宋体" w:cs="宋体"/>
                <w:color w:val="000000" w:themeColor="text1"/>
                <w:sz w:val="24"/>
                <w:highlight w:val="none"/>
                <w14:textFill>
                  <w14:solidFill>
                    <w14:schemeClr w14:val="tx1"/>
                  </w14:solidFill>
                </w14:textFill>
              </w:rPr>
              <w:t xml:space="preserve">终止公告</w:t>
            </w:r>
            <w:r>
              <w:rPr>
                <w:rFonts w:hint="eastAsia" w:ascii="宋体" w:hAnsi="宋体" w:eastAsia="宋体" w:cs="宋体"/>
                <w:bCs/>
                <w:color w:val="000000" w:themeColor="text1"/>
                <w:sz w:val="24"/>
                <w:highlight w:val="none"/>
                <w14:textFill>
                  <w14:solidFill>
                    <w14:schemeClr w14:val="tx1"/>
                  </w14:solidFill>
                </w14:textFill>
              </w:rPr>
              <w:t xml:space="preserve">”后采购代理机构已尽通知义务。敬请各潜在投标人关注本项目的“</w:t>
            </w:r>
            <w:r>
              <w:rPr>
                <w:rFonts w:hint="eastAsia" w:ascii="宋体" w:hAnsi="宋体" w:eastAsia="宋体" w:cs="宋体"/>
                <w:color w:val="000000" w:themeColor="text1"/>
                <w:sz w:val="24"/>
                <w:highlight w:val="none"/>
                <w14:textFill>
                  <w14:solidFill>
                    <w14:schemeClr w14:val="tx1"/>
                  </w14:solidFill>
                </w14:textFill>
              </w:rPr>
              <w:t xml:space="preserve">终止公告</w:t>
            </w:r>
            <w:r>
              <w:rPr>
                <w:rFonts w:hint="eastAsia" w:ascii="宋体" w:hAnsi="宋体" w:eastAsia="宋体" w:cs="宋体"/>
                <w:bCs/>
                <w:color w:val="000000" w:themeColor="text1"/>
                <w:sz w:val="24"/>
                <w:highlight w:val="none"/>
                <w14:textFill>
                  <w14:solidFill>
                    <w14:schemeClr w14:val="tx1"/>
                  </w14:solidFill>
                </w14:textFill>
              </w:rPr>
              <w:t xml:space="preserve">”，否则，将自行承担相应的风险。</w:t>
            </w:r>
            <w:r/>
          </w:p>
        </w:tc>
      </w:tr>
      <w:tr>
        <w:trPr>
          <w:jc w:val="center"/>
          <w:trHeight w:val="470"/>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w:t>
            </w:r>
            <w:r/>
          </w:p>
        </w:tc>
        <w:tc>
          <w:tcPr>
            <w:tcW w:w="7274" w:type="dxa"/>
            <w:textDirection w:val="lrTb"/>
            <w:noWrap w:val="false"/>
          </w:tcPr>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投标人信用信息查询渠道及截止时点、信用信息查询记录和证据留存的具体方式、信用信息的使用规则等：</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由采购人查询信用信息。</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二、查询渠道包括：</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1.“信用中国”网（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"http://www.creditchina.gov.cn/" \o "http://www.creditchina.gov.cn/"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www.creditchina.gov.cn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“中国政府采购”网（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"http://www.ccgp.gov.cn/" \o "http://www.ccgp.gov.cn/"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www.ccgp.gov.cn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“信用中国（江苏）”网（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"http://www.jscredit.gov.cn/" \o "http://www.jscredit.gov.cn/"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www.jscredit.gov.cn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“信用中国（江苏徐州）”网（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"http://www.xuzhoucredit.gov.cn/" \o "http://www.xuzhoucredit.gov.cn/"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www.xuzhoucredit.gov.cn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三、截止时点（查询环节）：评标结束前。</w:t>
            </w:r>
            <w:r/>
          </w:p>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四、信用信息查询记录和证据留存的具体方式：</w:t>
            </w:r>
            <w:r/>
          </w:p>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五、信用信息的使用规则：</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采购人对供应商信用记录进行甄别，对列入失信被执行人、重大税收违法</w:t>
            </w:r>
            <w:r>
              <w:rPr>
                <w:rFonts w:hint="eastAsia" w:ascii="宋体" w:hAnsi="宋体" w:eastAsia="宋体" w:cs="宋体"/>
                <w:bCs/>
                <w:color w:val="000000" w:themeColor="text1"/>
                <w:sz w:val="24"/>
                <w:highlight w:val="none"/>
                <w:lang w:eastAsia="zh-CN"/>
                <w14:textFill>
                  <w14:solidFill>
                    <w14:schemeClr w14:val="tx1"/>
                  </w14:solidFill>
                </w14:textFill>
              </w:rPr>
              <w:t xml:space="preserve">失信主体</w:t>
            </w:r>
            <w:r>
              <w:rPr>
                <w:rFonts w:hint="eastAsia" w:ascii="宋体" w:hAnsi="宋体" w:eastAsia="宋体" w:cs="宋体"/>
                <w:bCs/>
                <w:color w:val="000000" w:themeColor="text1"/>
                <w:sz w:val="24"/>
                <w:highlight w:val="none"/>
                <w14:textFill>
                  <w14:solidFill>
                    <w14:schemeClr w14:val="tx1"/>
                  </w14:solidFill>
                </w14:textFill>
              </w:rPr>
              <w:t xml:space="preserve">、政府采购严重违法失信行为记录名单及其他不符合《中华人民共和国政府采购法》第二十二条规定条件的供应商，拒绝其参与政府采购活动。评价结果参考期限从项目开标之日前3年起算。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gridSpan w:val="2"/>
            <w:tcW w:w="8642" w:type="dxa"/>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三、投标</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w:t>
            </w:r>
            <w:r/>
          </w:p>
        </w:tc>
        <w:tc>
          <w:tcPr>
            <w:tcW w:w="7274" w:type="dxa"/>
            <w:textDirection w:val="lrTb"/>
            <w:noWrap w:val="false"/>
          </w:tcPr>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投标人的资格要求：</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符合</w:t>
            </w:r>
            <w:r>
              <w:rPr>
                <w:rFonts w:hint="eastAsia" w:ascii="宋体" w:hAnsi="宋体" w:eastAsia="宋体" w:cs="宋体"/>
                <w:color w:val="000000" w:themeColor="text1"/>
                <w:sz w:val="24"/>
                <w:highlight w:val="none"/>
                <w14:textFill>
                  <w14:solidFill>
                    <w14:schemeClr w14:val="tx1"/>
                  </w14:solidFill>
                </w14:textFill>
              </w:rPr>
              <w:t xml:space="preserve">《中华人民共和国政府采购法》第二十二条规定；</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2.落实政府采购政策需满足的资格要求：</w:t>
            </w:r>
            <w:r>
              <w:rPr>
                <w:rFonts w:hint="eastAsia" w:ascii="宋体" w:hAnsi="宋体" w:eastAsia="宋体" w:cs="宋体"/>
                <w:bCs/>
                <w:color w:val="000000" w:themeColor="text1"/>
                <w:sz w:val="24"/>
                <w:highlight w:val="none"/>
                <w14:textFill>
                  <w14:solidFill>
                    <w14:schemeClr w14:val="tx1"/>
                  </w14:solidFill>
                </w14:textFill>
              </w:rPr>
              <w:t xml:space="preserve">此项目属于专门面向中小微企业采购的项目，供应商所提供的货物全部由符合政策要求的中小企业制造，供应商提供的货物的制造商应全部为中小微企业、监狱企业、残疾人福利性单位。</w:t>
            </w:r>
            <w:r/>
          </w:p>
          <w:p>
            <w:pPr>
              <w:pStyle w:val="772"/>
              <w:spacing w:before="1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3、本项目的特定资格要求：无。</w:t>
            </w:r>
            <w:r/>
          </w:p>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说明：</w:t>
            </w:r>
            <w:r/>
          </w:p>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1、本项目不接受联合体参与投标。</w:t>
            </w:r>
            <w:r/>
          </w:p>
          <w:p>
            <w:pPr>
              <w:pStyle w:val="772"/>
              <w:spacing w:before="1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2、单位负责人为同一人或者存在直接控股、管理关系的不同供应商，不得参加同一合同项下的政府采购活动。</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19.1</w:t>
            </w:r>
            <w:r/>
          </w:p>
        </w:tc>
        <w:tc>
          <w:tcPr>
            <w:tcW w:w="7274" w:type="dxa"/>
            <w:textDirection w:val="lrTb"/>
            <w:noWrap w:val="false"/>
          </w:tcPr>
          <w:p>
            <w:pPr>
              <w:pStyle w:val="772"/>
              <w:jc w:val="left"/>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 w:val="24"/>
                <w:highlight w:val="none"/>
                <w14:textFill>
                  <w14:solidFill>
                    <w14:schemeClr w14:val="tx1"/>
                  </w14:solidFill>
                </w14:textFill>
              </w:rPr>
              <w:t xml:space="preserve">http://jszfcg.jsc</w:t>
            </w:r>
            <w:bookmarkStart w:id="0" w:name="_Hlt91509264"/>
            <w:r/>
            <w:bookmarkStart w:id="1" w:name="_Hlt91509263"/>
            <w:r>
              <w:rPr>
                <w:rFonts w:hint="eastAsia" w:ascii="宋体" w:hAnsi="宋体" w:eastAsia="宋体" w:cs="宋体"/>
                <w:bCs/>
                <w:color w:val="000000" w:themeColor="text1"/>
                <w:sz w:val="24"/>
                <w:highlight w:val="none"/>
                <w14:textFill>
                  <w14:solidFill>
                    <w14:schemeClr w14:val="tx1"/>
                  </w14:solidFill>
                </w14:textFill>
              </w:rPr>
              <w:t xml:space="preserve">z</w:t>
            </w:r>
            <w:bookmarkEnd w:id="0"/>
            <w:r/>
            <w:bookmarkEnd w:id="1"/>
            <w:r>
              <w:rPr>
                <w:rFonts w:hint="eastAsia" w:ascii="宋体" w:hAnsi="宋体" w:eastAsia="宋体" w:cs="宋体"/>
                <w:bCs/>
                <w:color w:val="000000" w:themeColor="text1"/>
                <w:sz w:val="24"/>
                <w:highlight w:val="none"/>
                <w14:textFill>
                  <w14:solidFill>
                    <w14:schemeClr w14:val="tx1"/>
                  </w14:solidFill>
                </w14:textFill>
              </w:rPr>
              <w:t xml:space="preserve">t.cn/</w:t>
            </w:r>
            <w:r>
              <w:rPr>
                <w:rFonts w:hint="eastAsia" w:ascii="宋体" w:hAnsi="宋体" w:eastAsia="宋体" w:cs="宋体"/>
                <w:bCs/>
                <w:color w:val="000000" w:themeColor="text1"/>
                <w:sz w:val="24"/>
                <w:highlight w:val="none"/>
                <w14:textFill>
                  <w14:solidFill>
                    <w14:schemeClr w14:val="tx1"/>
                  </w14:solidFill>
                </w14:textFill>
              </w:rPr>
              <w:fldChar w:fldCharType="end"/>
            </w:r>
            <w:r>
              <w:rPr>
                <w:rFonts w:hint="eastAsia" w:ascii="宋体" w:hAnsi="宋体" w:eastAsia="宋体" w:cs="宋体"/>
                <w:bCs/>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72"/>
              <w:spacing w:before="1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特别说明：政府采购客户端工具需要导出加密的投标文件（后缀名为zip）。投标文件不得超过150M！</w:t>
            </w:r>
            <w:r/>
          </w:p>
        </w:tc>
      </w:tr>
      <w:tr>
        <w:trPr>
          <w:jc w:val="center"/>
        </w:trPr>
        <w:tc>
          <w:tcPr>
            <w:tcW w:w="1368" w:type="dxa"/>
            <w:vAlign w:val="center"/>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19.2</w:t>
            </w:r>
            <w:r/>
          </w:p>
        </w:tc>
        <w:tc>
          <w:tcPr>
            <w:tcW w:w="7274" w:type="dxa"/>
            <w:textDirection w:val="lrTb"/>
            <w:noWrap w:val="false"/>
          </w:tcPr>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线上投标文件编制要求：</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pStyle w:val="1029"/>
              <w:spacing w:before="120"/>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2、所投产品的环境标志产品认证证书原件的扫描件（如有）。</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3、所投产品的节能产品认证证书原件的扫描件（如有）。</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（2）节能产品认证证书是否符合要求，采购人评标时查询中国政府采购网（www.ccgp.gov.cn）相关内容后确定。</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4、投标人认为需要提供的其他资料（如有）</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二、资格条件（1-6必须提供</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原件或</w:t>
            </w:r>
            <w:r>
              <w:rPr>
                <w:rFonts w:hint="eastAsia" w:ascii="宋体" w:hAnsi="宋体" w:eastAsia="宋体" w:cs="宋体"/>
                <w:b/>
                <w:color w:val="000000" w:themeColor="text1"/>
                <w:sz w:val="24"/>
                <w:highlight w:val="none"/>
                <w14:textFill>
                  <w14:solidFill>
                    <w14:schemeClr w14:val="tx1"/>
                  </w14:solidFill>
                </w14:textFill>
              </w:rPr>
              <w:t xml:space="preserve">原件扫描件</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加盖电子签章</w:t>
            </w:r>
            <w:r>
              <w:rPr>
                <w:rFonts w:hint="eastAsia" w:ascii="宋体" w:hAnsi="宋体" w:eastAsia="宋体" w:cs="宋体"/>
                <w:b/>
                <w:color w:val="000000" w:themeColor="text1"/>
                <w:sz w:val="24"/>
                <w:highlight w:val="none"/>
                <w14:textFill>
                  <w14:solidFill>
                    <w14:schemeClr w14:val="tx1"/>
                  </w14:solidFill>
                </w14:textFill>
              </w:rPr>
              <w:t xml:space="preserve">，否则投标无效）</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1、具有独立承担民事责任的能力，提供合法有效的法人的营业执照或事业法人证或其他组织应提供合法证明文件或自然人提供身份证件</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2、财务状况报告：</w:t>
            </w:r>
            <w:r/>
          </w:p>
          <w:p>
            <w:pPr>
              <w:pStyle w:val="1029"/>
              <w:spacing w:before="12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即提供投标人在本项目开标时间前6个月内任何时间（不含开标当月）的资产负债表、利润表各一份或提供投标人合法有效的经第三方机构审计的年度财务审计报告（202</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年度）或投标人的本项目开标时间前6个月内银行出具的资信证明扫描件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3、投标人依法缴纳税收和社会保障资金的记录：投标人在本项目开标时间前6个月内任何1个月</w:t>
            </w:r>
            <w:r>
              <w:rPr>
                <w:rFonts w:hint="eastAsia" w:ascii="宋体" w:hAnsi="宋体" w:eastAsia="宋体" w:cs="宋体"/>
                <w:color w:val="000000" w:themeColor="text1"/>
                <w:sz w:val="24"/>
                <w:highlight w:val="none"/>
                <w:lang w:eastAsia="zh-CN"/>
                <w14:textFill>
                  <w14:solidFill>
                    <w14:schemeClr w14:val="tx1"/>
                  </w14:solidFill>
                </w14:textFill>
              </w:rPr>
              <w:t xml:space="preserve">（不含开标当月）</w:t>
            </w:r>
            <w:r>
              <w:rPr>
                <w:rFonts w:hint="eastAsia" w:ascii="宋体" w:hAnsi="宋体" w:eastAsia="宋体" w:cs="宋体"/>
                <w:color w:val="000000" w:themeColor="text1"/>
                <w:sz w:val="24"/>
                <w:highlight w:val="none"/>
                <w14:textFill>
                  <w14:solidFill>
                    <w14:schemeClr w14:val="tx1"/>
                  </w14:solidFill>
                </w14:textFill>
              </w:rPr>
              <w:t xml:space="preserve">的依法缴纳税收和社会保障资金的相关材料扫描件（依法免税或不需要缴纳社会保障资金的</w:t>
            </w:r>
            <w:r>
              <w:rPr>
                <w:rFonts w:hint="eastAsia" w:ascii="宋体" w:hAnsi="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,提供相应文件证明其依法免税或不需要缴纳社会保障资金)；</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4、具备履行合同所必需的设备和专业技术能力的证明材料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投标文件中提供《具备履行合同所必需的设备和专业技术能力的书面声明（附证明材料扫描件）》，加盖电子签章，格式见招标文件第七章《投标文件相关格式》</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1029"/>
              <w:spacing w:before="12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提供的货物全部由符合政策要求的中小企业制造，提供《中小企业声明函》（必须提供，填写完整，加盖电子签章，格式见招标文件第七章《投标文件相关格式》如不填写完整，视为无效）。《中小企业声明函》查询渠道参考工业和信息化部发布的中小企业规模自测小程序。</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注：中小企业（含中型、小型、微型企业，下同），应当同时符合以下条件：</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 符合中小企业划分标准；</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 提供本企业制造的货物、承担的工程或者服务，或者提供其他中小企业制造的货物。</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小型、微型企业提供中型企业制造的货物的，视同为中型企业。</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（一）安置的残疾人占本单位在职职工人数的比例不低于25%（含25%），并且安置的残疾人人数不少于10人（含10人）；</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（二）依法与安置的每位残疾人签订了一年以上（含一年）的劳动合同或服务协议；</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9"/>
              <w:spacing w:before="12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1029"/>
              <w:spacing w:before="120"/>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三、符合条件（必须提供，否则投标无效）</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（一）报价</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1、《开标一览表》（加盖电子签章，格式见招标文件第七章《投标文件相关格式》。</w:t>
            </w:r>
            <w:r>
              <w:rPr>
                <w:rFonts w:hint="eastAsia" w:ascii="宋体" w:hAnsi="宋体" w:cs="宋体"/>
                <w:color w:val="000000" w:themeColor="text1"/>
                <w:sz w:val="24"/>
                <w:highlight w:val="none"/>
                <w:lang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文件格式如与客户端格式不同，以</w:t>
            </w:r>
            <w:r>
              <w:rPr>
                <w:rFonts w:hint="eastAsia" w:ascii="宋体" w:hAnsi="宋体" w:cs="宋体"/>
                <w:color w:val="000000" w:themeColor="text1"/>
                <w:sz w:val="24"/>
                <w:highlight w:val="none"/>
                <w:lang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文件格式为准，但报价必须相同））</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2、《分项价格表》（加盖电子签章，格式见招标文件第七章《投标文件相关格式》。）</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（二）商务资信</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1、《投标函》（加盖电子签章，格式见招标文件第七章《投标文件相关格式》。）</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2、《授权委托书》（加盖电子签章，格式见招标文件第七章《投标文件相关格式》）</w:t>
            </w:r>
            <w:r/>
          </w:p>
          <w:p>
            <w:pPr>
              <w:pStyle w:val="1030"/>
              <w:ind w:left="0" w:firstLine="0"/>
              <w:rPr>
                <w:rFonts w:hint="eastAsia" w:eastAsia="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3、授权委托书中受托人身份证的扫描件（加盖电子签章）</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（三）技术响应</w:t>
            </w:r>
            <w:r/>
          </w:p>
          <w:p>
            <w:pPr>
              <w:pStyle w:val="1029"/>
              <w:spacing w:before="120"/>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1、《偏离表》（加盖电子签章，格式见招标文件第七章《投标文件相关格式》。）</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四、综合评审评分项</w:t>
            </w:r>
            <w:r/>
          </w:p>
          <w:p>
            <w:pPr>
              <w:pStyle w:val="1029"/>
              <w:spacing w:before="12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详见招标文件第四章</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 评标标准</w:t>
            </w:r>
            <w:r/>
          </w:p>
          <w:p>
            <w:pPr>
              <w:pStyle w:val="1029"/>
              <w:spacing w:before="12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五、报价折扣证明</w:t>
            </w:r>
            <w:r/>
          </w:p>
          <w:p>
            <w:pPr>
              <w:pStyle w:val="1029"/>
              <w:spacing w:before="12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无。</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注：1、投标人应对以上文件的合法性、真实性负责。</w:t>
            </w:r>
            <w:r/>
          </w:p>
          <w:p>
            <w:pPr>
              <w:pStyle w:val="1029"/>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签订合同前，中标人必须向采购人提交其投标文件中所有扫描件的原件，采购人核查无误后，签订合同。如中标人不能在采购人规定的时间内向采购人提供，将被采购人视为放弃中标资格。</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3、线下纸质投标文件：中标人领取中标通知书时须向代理机构提交纸质胶装投标文件</w:t>
            </w:r>
            <w:r>
              <w:rPr>
                <w:rFonts w:hint="eastAsia" w:ascii="宋体" w:hAnsi="宋体" w:eastAsia="宋体" w:cs="宋体"/>
                <w:b/>
                <w:bCs/>
                <w:color w:val="000000" w:themeColor="text1"/>
                <w:sz w:val="24"/>
                <w:highlight w:val="none"/>
                <w14:textFill>
                  <w14:solidFill>
                    <w14:schemeClr w14:val="tx1"/>
                  </w14:solidFill>
                </w14:textFill>
              </w:rPr>
              <w:t xml:space="preserve">一正二副</w:t>
            </w:r>
            <w:r>
              <w:rPr>
                <w:rFonts w:hint="eastAsia" w:ascii="宋体" w:hAnsi="宋体" w:eastAsia="宋体" w:cs="宋体"/>
                <w:color w:val="000000" w:themeColor="text1"/>
                <w:sz w:val="24"/>
                <w:highlight w:val="none"/>
                <w14:textFill>
                  <w14:solidFill>
                    <w14:schemeClr w14:val="tx1"/>
                  </w14:solidFill>
                </w14:textFill>
              </w:rPr>
              <w:t xml:space="preserve">，后期招标人如有需要中标人仍需免费提供。</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19.4</w:t>
            </w:r>
            <w:r/>
          </w:p>
        </w:tc>
        <w:tc>
          <w:tcPr>
            <w:tcW w:w="7274" w:type="dxa"/>
            <w:textDirection w:val="lrTb"/>
            <w:noWrap w:val="false"/>
          </w:tcPr>
          <w:p>
            <w:pPr>
              <w:pStyle w:val="772"/>
              <w:spacing w:before="12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投标人应当通过“苏采云”系统提交数据电文形式的投标文件（即电子投标文件）。</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19.5</w:t>
            </w:r>
            <w:r/>
          </w:p>
        </w:tc>
        <w:tc>
          <w:tcPr>
            <w:tcW w:w="7274" w:type="dxa"/>
            <w:textDirection w:val="lrTb"/>
            <w:noWrap w:val="false"/>
          </w:tcPr>
          <w:p>
            <w:pPr>
              <w:pStyle w:val="772"/>
              <w:spacing w:before="12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投标文件的退还：</w:t>
            </w:r>
            <w:r/>
          </w:p>
          <w:p>
            <w:pPr>
              <w:pStyle w:val="772"/>
              <w:spacing w:before="12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投标文件不退还投标人，若采购人索取中标人的数据电文形式的投标文件，须在双方签定政府采购合同后，由采购代理机构提供给采购人。</w:t>
            </w:r>
            <w:r/>
          </w:p>
        </w:tc>
      </w:tr>
      <w:tr>
        <w:trPr>
          <w:jc w:val="center"/>
          <w:trHeight w:val="4320"/>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19.6</w:t>
            </w:r>
            <w:r/>
          </w:p>
        </w:tc>
        <w:tc>
          <w:tcPr>
            <w:tcW w:w="7274" w:type="dxa"/>
            <w:textDirection w:val="lrTb"/>
            <w:noWrap w:val="false"/>
          </w:tcPr>
          <w:p>
            <w:pPr>
              <w:pStyle w:val="910"/>
              <w:jc w:val="both"/>
              <w:spacing w:before="120" w:beforeAutospacing="0" w:after="0" w:afterAutospacing="0"/>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投标文件的密封、签署、盖章要求：</w:t>
            </w:r>
            <w:r/>
          </w:p>
          <w:p>
            <w:pPr>
              <w:pStyle w:val="910"/>
              <w:jc w:val="both"/>
              <w:spacing w:before="120" w:beforeAutospacing="0" w:after="0" w:afterAutospacing="0"/>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一、投标文件的密封（加密）要求：</w:t>
            </w:r>
            <w:r/>
          </w:p>
          <w:p>
            <w:pPr>
              <w:pStyle w:val="910"/>
              <w:jc w:val="both"/>
              <w:spacing w:before="120" w:beforeAutospacing="0" w:after="0" w:afterAutospacing="0"/>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10"/>
              <w:jc w:val="both"/>
              <w:spacing w:before="120" w:beforeAutospacing="0" w:after="0" w:afterAutospacing="0"/>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二、投标文件的签署要求：见招标文件第七章《投标文件相关格式》。</w:t>
            </w:r>
            <w:r/>
          </w:p>
          <w:p>
            <w:pPr>
              <w:pStyle w:val="910"/>
              <w:jc w:val="both"/>
              <w:spacing w:before="120" w:beforeAutospacing="0" w:after="0" w:afterAutospacing="0"/>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19.8</w:t>
            </w:r>
            <w:r/>
          </w:p>
        </w:tc>
        <w:tc>
          <w:tcPr>
            <w:tcW w:w="7274" w:type="dxa"/>
            <w:textDirection w:val="lrTb"/>
            <w:noWrap w:val="false"/>
          </w:tcPr>
          <w:p>
            <w:pPr>
              <w:pStyle w:val="772"/>
              <w:spacing w:before="12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投标人未按规定加密的投标文件，“苏采云”系统应当拒收并提示。</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19.9</w:t>
            </w:r>
            <w:r/>
          </w:p>
        </w:tc>
        <w:tc>
          <w:tcPr>
            <w:tcW w:w="7274" w:type="dxa"/>
            <w:textDirection w:val="lrTb"/>
            <w:noWrap w:val="false"/>
          </w:tcPr>
          <w:p>
            <w:pPr>
              <w:pStyle w:val="910"/>
              <w:jc w:val="both"/>
              <w:spacing w:before="120" w:beforeAutospacing="0" w:after="0" w:afterAutospacing="0"/>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投标人应当在投标截止时间前完成投标文件的传输提交，并可以补充、修改或者撤回投标文件。</w:t>
            </w:r>
            <w:r/>
          </w:p>
          <w:p>
            <w:pPr>
              <w:pStyle w:val="910"/>
              <w:jc w:val="both"/>
              <w:spacing w:before="120" w:beforeAutospacing="0" w:after="0" w:afterAutospacing="0"/>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补充、修改投标文件的，须先撤回投标文件，重新编制（即补充、修改）投标文件，在投标截止时间前完成投标文件的传输提交。</w:t>
            </w:r>
            <w:r/>
          </w:p>
          <w:p>
            <w:pPr>
              <w:pStyle w:val="910"/>
              <w:jc w:val="both"/>
              <w:spacing w:before="120" w:beforeAutospacing="0" w:after="0" w:afterAutospacing="0"/>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投标截止时间前未完成投标文件传输的，视为撤回投标文件。投标截止时间后送达的投标文件，“苏采云”系统应当拒收。</w:t>
            </w:r>
            <w:r/>
          </w:p>
          <w:p>
            <w:pPr>
              <w:pStyle w:val="772"/>
              <w:spacing w:before="120"/>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20.6</w:t>
            </w:r>
            <w:r/>
          </w:p>
        </w:tc>
        <w:tc>
          <w:tcPr>
            <w:tcW w:w="7274" w:type="dxa"/>
            <w:textDirection w:val="lrTb"/>
            <w:noWrap w:val="false"/>
          </w:tcPr>
          <w:p>
            <w:pPr>
              <w:pStyle w:val="772"/>
              <w:spacing w:before="12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不接</w:t>
            </w:r>
            <w:r>
              <w:rPr>
                <w:rFonts w:hint="eastAsia" w:ascii="宋体" w:hAnsi="宋体" w:eastAsia="宋体" w:cs="宋体"/>
                <w:b/>
                <w:color w:val="auto"/>
                <w:sz w:val="24"/>
                <w:highlight w:val="none"/>
              </w:rPr>
              <w:t xml:space="preserve">受超过</w:t>
            </w:r>
            <w:r>
              <w:rPr>
                <w:rFonts w:hint="eastAsia" w:ascii="宋体" w:hAnsi="宋体" w:cs="宋体"/>
                <w:b/>
                <w:color w:val="auto"/>
                <w:sz w:val="24"/>
                <w:highlight w:val="none"/>
                <w:lang w:val="en-US" w:eastAsia="zh-CN"/>
              </w:rPr>
              <w:t xml:space="preserve">37</w:t>
            </w:r>
            <w:r>
              <w:rPr>
                <w:rFonts w:hint="eastAsia" w:ascii="宋体" w:hAnsi="宋体" w:eastAsia="宋体" w:cs="宋体"/>
                <w:b/>
                <w:color w:val="auto"/>
                <w:sz w:val="24"/>
                <w:highlight w:val="none"/>
              </w:rPr>
              <w:t xml:space="preserve">万元人民币（采购项目预算金额）的投标报价。</w:t>
            </w:r>
            <w:r>
              <w:rPr>
                <w:rFonts w:hint="eastAsia" w:ascii="宋体" w:hAnsi="宋体" w:cs="宋体"/>
                <w:color w:val="auto"/>
                <w:sz w:val="24"/>
                <w:highlight w:val="none"/>
                <w:lang w:val="en-US" w:eastAsia="zh-CN"/>
              </w:rPr>
              <w:t xml:space="preserve">其中采购包1不接受超过22万元人民币的投标报价，采购包2不接受超过15万元人民币的投标报价。</w:t>
            </w:r>
            <w:r>
              <w:rPr>
                <w:rFonts w:hint="eastAsia" w:ascii="宋体" w:hAnsi="宋体" w:eastAsia="宋体" w:cs="宋体"/>
                <w:bCs/>
                <w:color w:val="auto"/>
                <w:sz w:val="24"/>
                <w:highlight w:val="none"/>
              </w:rPr>
              <w:t xml:space="preserve">报价包括产品价、税金、运费、安装调试</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eastAsia="zh-CN"/>
                <w14:textFill>
                  <w14:solidFill>
                    <w14:schemeClr w14:val="tx1"/>
                  </w14:solidFill>
                </w14:textFill>
              </w:rPr>
              <w:t xml:space="preserve">改造、</w:t>
            </w:r>
            <w:r>
              <w:rPr>
                <w:rFonts w:hint="eastAsia" w:ascii="宋体" w:hAnsi="宋体" w:eastAsia="宋体" w:cs="宋体"/>
                <w:bCs/>
                <w:color w:val="000000" w:themeColor="text1"/>
                <w:sz w:val="24"/>
                <w:highlight w:val="none"/>
                <w14:textFill>
                  <w14:solidFill>
                    <w14:schemeClr w14:val="tx1"/>
                  </w14:solidFill>
                </w14:textFill>
              </w:rPr>
              <w:t xml:space="preserve">检验、保险、验收等全部费用，采购人不再支付报价以外的任何费用。</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投标人不需交纳投标保证金。</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22.1</w:t>
            </w:r>
            <w:r/>
          </w:p>
        </w:tc>
        <w:tc>
          <w:tcPr>
            <w:tcW w:w="7274" w:type="dxa"/>
            <w:textDirection w:val="lrTb"/>
            <w:noWrap w:val="false"/>
          </w:tcPr>
          <w:p>
            <w:pPr>
              <w:pStyle w:val="772"/>
              <w:spacing w:before="120"/>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投标截止时间：</w:t>
            </w:r>
            <w:r>
              <w:rPr>
                <w:rFonts w:hint="eastAsia" w:ascii="宋体" w:hAnsi="宋体" w:eastAsia="宋体" w:cs="宋体"/>
                <w:b/>
                <w:bCs/>
                <w:color w:val="000000" w:themeColor="text1"/>
                <w:sz w:val="24"/>
                <w:highlight w:val="none"/>
              </w:rPr>
              <w:t xml:space="preserve">202</w:t>
            </w:r>
            <w:r>
              <w:rPr>
                <w:rFonts w:hint="eastAsia" w:ascii="宋体" w:hAnsi="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年1</w:t>
            </w:r>
            <w:r>
              <w:rPr>
                <w:rFonts w:hint="eastAsia" w:ascii="宋体" w:hAnsi="宋体" w:cs="宋体"/>
                <w:b/>
                <w:bCs/>
                <w:color w:val="000000" w:themeColor="text1"/>
                <w:sz w:val="24"/>
                <w:highlight w:val="none"/>
                <w:lang w:val="en-US" w:eastAsia="zh-CN"/>
              </w:rPr>
              <w:t xml:space="preserve">2</w:t>
            </w:r>
            <w:r>
              <w:rPr>
                <w:rFonts w:hint="eastAsia" w:ascii="宋体" w:hAnsi="宋体" w:eastAsia="宋体" w:cs="宋体"/>
                <w:b/>
                <w:bCs/>
                <w:color w:val="000000" w:themeColor="text1"/>
                <w:sz w:val="24"/>
                <w:highlight w:val="none"/>
              </w:rPr>
              <w:t xml:space="preserve">月</w:t>
            </w:r>
            <w:r>
              <w:rPr>
                <w:rFonts w:hint="eastAsia" w:ascii="宋体" w:hAnsi="宋体" w:cs="宋体"/>
                <w:b/>
                <w:bCs/>
                <w:color w:val="000000" w:themeColor="text1"/>
                <w:sz w:val="24"/>
                <w:highlight w:val="none"/>
                <w:lang w:val="en-US" w:eastAsia="zh-CN"/>
              </w:rPr>
              <w:t xml:space="preserve">11</w:t>
            </w:r>
            <w:r>
              <w:rPr>
                <w:rFonts w:hint="eastAsia" w:ascii="宋体" w:hAnsi="宋体" w:eastAsia="宋体" w:cs="宋体"/>
                <w:b/>
                <w:bCs/>
                <w:color w:val="000000" w:themeColor="text1"/>
                <w:sz w:val="24"/>
                <w:highlight w:val="none"/>
              </w:rPr>
              <w:t xml:space="preserve">日北京时间9：30。</w:t>
            </w:r>
            <w:r>
              <w:rPr>
                <w:color w:val="000000" w:themeColor="text1"/>
              </w:rP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22.2</w:t>
            </w:r>
            <w:r/>
          </w:p>
        </w:tc>
        <w:tc>
          <w:tcPr>
            <w:tcW w:w="7274" w:type="dxa"/>
            <w:textDirection w:val="lrTb"/>
            <w:noWrap w:val="false"/>
          </w:tcPr>
          <w:p>
            <w:pPr>
              <w:pStyle w:val="772"/>
              <w:spacing w:before="120"/>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投标文件的提交与接收：</w:t>
            </w:r>
            <w:r>
              <w:rPr>
                <w:color w:val="000000" w:themeColor="text1"/>
              </w:rPr>
            </w:r>
          </w:p>
          <w:p>
            <w:pPr>
              <w:pStyle w:val="772"/>
              <w:ind w:left="240" w:hanging="240"/>
              <w:jc w:val="left"/>
              <w:spacing w:before="120"/>
              <w:widowControl/>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1.投标文件提交与接收时间</w:t>
            </w:r>
            <w:r>
              <w:rPr>
                <w:rFonts w:hint="eastAsia" w:ascii="宋体" w:hAnsi="宋体" w:eastAsia="宋体" w:cs="宋体"/>
                <w:b/>
                <w:bCs/>
                <w:color w:val="000000" w:themeColor="text1"/>
                <w:sz w:val="24"/>
                <w:highlight w:val="none"/>
              </w:rPr>
              <w:t xml:space="preserve">：提交投标文件截止时间（</w:t>
            </w:r>
            <w:r>
              <w:rPr>
                <w:rFonts w:hint="eastAsia" w:ascii="宋体" w:hAnsi="宋体" w:eastAsia="宋体" w:cs="宋体"/>
                <w:b/>
                <w:bCs/>
                <w:color w:val="000000" w:themeColor="text1"/>
                <w:sz w:val="24"/>
                <w:highlight w:val="none"/>
              </w:rPr>
              <w:t xml:space="preserve">202</w:t>
            </w:r>
            <w:r>
              <w:rPr>
                <w:rFonts w:hint="eastAsia" w:ascii="宋体" w:hAnsi="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年1</w:t>
            </w:r>
            <w:r>
              <w:rPr>
                <w:rFonts w:hint="eastAsia" w:ascii="宋体" w:hAnsi="宋体" w:cs="宋体"/>
                <w:b/>
                <w:bCs/>
                <w:color w:val="000000" w:themeColor="text1"/>
                <w:sz w:val="24"/>
                <w:highlight w:val="none"/>
                <w:lang w:val="en-US" w:eastAsia="zh-CN"/>
              </w:rPr>
              <w:t xml:space="preserve">2</w:t>
            </w:r>
            <w:r>
              <w:rPr>
                <w:rFonts w:hint="eastAsia" w:ascii="宋体" w:hAnsi="宋体" w:eastAsia="宋体" w:cs="宋体"/>
                <w:b/>
                <w:bCs/>
                <w:color w:val="000000" w:themeColor="text1"/>
                <w:sz w:val="24"/>
                <w:highlight w:val="none"/>
              </w:rPr>
              <w:t xml:space="preserve">月</w:t>
            </w:r>
            <w:r>
              <w:rPr>
                <w:rFonts w:hint="eastAsia" w:ascii="宋体" w:hAnsi="宋体" w:eastAsia="宋体" w:cs="宋体"/>
                <w:b/>
                <w:bCs/>
                <w:color w:val="000000" w:themeColor="text1"/>
                <w:sz w:val="24"/>
                <w:highlight w:val="none"/>
                <w:lang w:val="en-US" w:eastAsia="zh-CN"/>
              </w:rPr>
              <w:t xml:space="preserve"> </w:t>
            </w:r>
            <w:r>
              <w:rPr>
                <w:rFonts w:hint="eastAsia" w:ascii="宋体" w:hAnsi="宋体" w:cs="宋体"/>
                <w:b/>
                <w:bCs/>
                <w:color w:val="000000" w:themeColor="text1"/>
                <w:sz w:val="24"/>
                <w:highlight w:val="none"/>
                <w:lang w:val="en-US" w:eastAsia="zh-CN"/>
              </w:rPr>
              <w:t xml:space="preserve"> </w:t>
            </w:r>
            <w:r>
              <w:rPr>
                <w:rFonts w:hint="eastAsia" w:ascii="宋体" w:hAnsi="宋体" w:eastAsia="宋体" w:cs="宋体"/>
                <w:b/>
                <w:bCs/>
                <w:color w:val="000000" w:themeColor="text1"/>
                <w:sz w:val="24"/>
                <w:highlight w:val="none"/>
              </w:rPr>
              <w:t xml:space="preserve">11日北京时间9:30</w:t>
            </w:r>
            <w:r>
              <w:rPr>
                <w:rFonts w:hint="eastAsia" w:ascii="宋体" w:hAnsi="宋体" w:eastAsia="宋体" w:cs="宋体"/>
                <w:b/>
                <w:bCs/>
                <w:color w:val="000000" w:themeColor="text1"/>
                <w:sz w:val="24"/>
                <w:highlight w:val="none"/>
              </w:rPr>
              <w:t xml:space="preserve">）前。</w:t>
            </w:r>
            <w:r>
              <w:rPr>
                <w:color w:val="000000" w:themeColor="text1"/>
              </w:rPr>
            </w:r>
          </w:p>
          <w:p>
            <w:pPr>
              <w:pStyle w:val="772"/>
              <w:numPr>
                <w:ilvl w:val="0"/>
                <w:numId w:val="3"/>
              </w:numPr>
              <w:spacing w:before="120"/>
              <w:widowControl/>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投标文件提交与接收地点：</w:t>
            </w:r>
            <w:r>
              <w:rPr>
                <w:rFonts w:hint="eastAsia" w:ascii="宋体" w:hAnsi="宋体" w:eastAsia="宋体" w:cs="宋体"/>
                <w:b/>
                <w:bCs/>
                <w:color w:val="000000" w:themeColor="text1"/>
                <w:sz w:val="24"/>
                <w:highlight w:val="none"/>
              </w:rPr>
              <w:t xml:space="preserve">投标人应当通过“苏采云”系统提交数据电文形式的投标文件（即电子投标），“苏采云”系统自动接收，在达到开标时间后，使用CA数字证书解密各自投标文件。</w:t>
            </w:r>
            <w:r>
              <w:rPr>
                <w:color w:val="000000" w:themeColor="text1"/>
              </w:rPr>
            </w:r>
          </w:p>
          <w:p>
            <w:pPr>
              <w:pStyle w:val="772"/>
              <w:numPr>
                <w:ilvl w:val="0"/>
                <w:numId w:val="3"/>
              </w:numPr>
              <w:spacing w:before="120"/>
              <w:widowControl/>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rPr>
              <w:t xml:space="preserve">特别说明：政府采购客户端工具需要导出加密的投标文件（后缀名为zip）。投标文件不得超过150M！名为“.kedt”）后，离线编制投标文件。采购文件（后缀名为“.kedt”）。</w:t>
            </w:r>
            <w:r>
              <w:rPr>
                <w:color w:val="000000" w:themeColor="text1"/>
              </w:rPr>
            </w:r>
          </w:p>
        </w:tc>
      </w:tr>
      <w:tr>
        <w:trPr>
          <w:jc w:val="center"/>
          <w:trHeight w:val="582"/>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23.2</w:t>
            </w:r>
            <w:r/>
          </w:p>
        </w:tc>
        <w:tc>
          <w:tcPr>
            <w:tcW w:w="7274" w:type="dxa"/>
            <w:textDirection w:val="lrTb"/>
            <w:noWrap w:val="false"/>
          </w:tcPr>
          <w:p>
            <w:pPr>
              <w:pStyle w:val="772"/>
              <w:spacing w:before="12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招标文件对本项目分包的规定：采购人不允许采用分包方式履行合同。</w:t>
            </w:r>
            <w:r/>
          </w:p>
        </w:tc>
      </w:tr>
      <w:tr>
        <w:trPr>
          <w:jc w:val="center"/>
        </w:trPr>
        <w:tc>
          <w:tcPr>
            <w:gridSpan w:val="2"/>
            <w:tcW w:w="8642" w:type="dxa"/>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四、开标、评标</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26.1</w:t>
            </w:r>
            <w:r/>
          </w:p>
        </w:tc>
        <w:tc>
          <w:tcPr>
            <w:tcW w:w="7274" w:type="dxa"/>
            <w:textDirection w:val="lrTb"/>
            <w:noWrap w:val="false"/>
          </w:tcPr>
          <w:p>
            <w:pPr>
              <w:pStyle w:val="772"/>
              <w:spacing w:before="120"/>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开标时间及地点：</w:t>
            </w:r>
            <w:r/>
          </w:p>
          <w:p>
            <w:pPr>
              <w:pStyle w:val="770"/>
              <w:spacing w:before="120"/>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1.开标时间：</w:t>
            </w:r>
            <w:r>
              <w:rPr>
                <w:rFonts w:hint="eastAsia" w:ascii="宋体" w:hAnsi="宋体" w:eastAsia="宋体" w:cs="宋体"/>
                <w:b/>
                <w:bCs/>
                <w:color w:val="000000" w:themeColor="text1"/>
                <w:sz w:val="24"/>
                <w:highlight w:val="none"/>
              </w:rPr>
              <w:t xml:space="preserve">202</w:t>
            </w:r>
            <w:r>
              <w:rPr>
                <w:rFonts w:hint="eastAsia" w:ascii="宋体" w:hAnsi="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年1</w:t>
            </w:r>
            <w:r>
              <w:rPr>
                <w:rFonts w:hint="eastAsia" w:ascii="宋体" w:hAnsi="宋体" w:cs="宋体"/>
                <w:b/>
                <w:bCs/>
                <w:color w:val="000000" w:themeColor="text1"/>
                <w:sz w:val="24"/>
                <w:highlight w:val="none"/>
                <w:lang w:val="en-US" w:eastAsia="zh-CN"/>
              </w:rPr>
              <w:t xml:space="preserve">2</w:t>
            </w:r>
            <w:r>
              <w:rPr>
                <w:rFonts w:hint="eastAsia" w:ascii="宋体" w:hAnsi="宋体" w:eastAsia="宋体" w:cs="宋体"/>
                <w:b/>
                <w:bCs/>
                <w:color w:val="000000" w:themeColor="text1"/>
                <w:sz w:val="24"/>
                <w:highlight w:val="none"/>
              </w:rPr>
              <w:t xml:space="preserve">月</w:t>
            </w:r>
            <w:r>
              <w:rPr>
                <w:rFonts w:hint="eastAsia" w:ascii="宋体" w:hAnsi="宋体" w:cs="宋体"/>
                <w:b/>
                <w:bCs/>
                <w:color w:val="000000" w:themeColor="text1"/>
                <w:sz w:val="24"/>
                <w:highlight w:val="none"/>
                <w:lang w:val="en-US" w:eastAsia="zh-CN"/>
              </w:rPr>
              <w:t xml:space="preserve">11</w:t>
            </w:r>
            <w:r>
              <w:rPr>
                <w:rFonts w:hint="eastAsia" w:ascii="宋体" w:hAnsi="宋体" w:eastAsia="宋体" w:cs="宋体"/>
                <w:b/>
                <w:bCs/>
                <w:color w:val="000000" w:themeColor="text1"/>
                <w:sz w:val="24"/>
                <w:highlight w:val="none"/>
              </w:rPr>
              <w:t xml:space="preserve">日北京时间9：30</w:t>
            </w:r>
            <w:r>
              <w:rPr>
                <w:color w:val="000000" w:themeColor="text1"/>
              </w:rPr>
            </w:r>
          </w:p>
          <w:p>
            <w:pPr>
              <w:pStyle w:val="772"/>
              <w:spacing w:before="120"/>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rPr>
              <w:t xml:space="preserve">2.开</w:t>
            </w:r>
            <w:r>
              <w:rPr>
                <w:rFonts w:hint="eastAsia" w:ascii="宋体" w:hAnsi="宋体" w:eastAsia="宋体" w:cs="宋体"/>
                <w:b/>
                <w:bCs/>
                <w:color w:val="000000" w:themeColor="text1"/>
                <w:sz w:val="24"/>
                <w:highlight w:val="none"/>
                <w14:textFill>
                  <w14:solidFill>
                    <w14:schemeClr w14:val="tx1"/>
                  </w14:solidFill>
                </w14:textFill>
              </w:rPr>
              <w:t xml:space="preserve">标地点：“苏采云”系统（网址：</w:t>
            </w:r>
            <w:r/>
          </w:p>
          <w:p>
            <w:pPr>
              <w:pStyle w:val="772"/>
              <w:spacing w:before="12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http://jszfcg.jsczt.cn/）“开标大厅”或进入徐州政府采购网（网址：http://czj.xz.gov.cn/Home/HomeIndex）--业务工作--用户登录，点击“苏采云”进入系统“开标大厅”。</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26.3</w:t>
            </w:r>
            <w:r/>
          </w:p>
        </w:tc>
        <w:tc>
          <w:tcPr>
            <w:tcW w:w="7274" w:type="dxa"/>
            <w:textDirection w:val="lrTb"/>
            <w:noWrap w:val="false"/>
          </w:tcPr>
          <w:p>
            <w:pPr>
              <w:pStyle w:val="772"/>
              <w:spacing w:before="12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2"/>
              <w:spacing w:before="12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w:t>
            </w:r>
            <w:r/>
          </w:p>
        </w:tc>
        <w:tc>
          <w:tcPr>
            <w:tcW w:w="7274" w:type="dxa"/>
            <w:textDirection w:val="lrTb"/>
            <w:noWrap w:val="false"/>
          </w:tcPr>
          <w:p>
            <w:pPr>
              <w:pStyle w:val="772"/>
              <w:spacing w:before="12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p>
            <w:pPr>
              <w:pStyle w:val="772"/>
              <w:spacing w:before="12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投标人可同时参与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个采购包的投标，但只能中标其中一个采购包。本项目按照采购包</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的顺序开标、评标。在前一采购包中标后，可以参与下一采购包的评标，但不得再次中标。</w:t>
            </w:r>
            <w:r/>
          </w:p>
        </w:tc>
      </w:tr>
      <w:tr>
        <w:trPr>
          <w:jc w:val="center"/>
        </w:trPr>
        <w:tc>
          <w:tcPr>
            <w:gridSpan w:val="2"/>
            <w:tcW w:w="8642"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五、中标和合同</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38.2</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候选人并列的，招标文件规定的确定中标人方式：采用综合评分法的，评标结果按评审后得分由高到低顺序排列。得分相同的，按投标报价由低到高顺序排列。得分且投标报价相同的，按项目实施方案得分由高到低顺序排列。</w:t>
            </w:r>
            <w:r/>
          </w:p>
          <w:p>
            <w:pPr>
              <w:pStyle w:val="772"/>
              <w:spacing w:before="120"/>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中标候选人应当不超过3个，并标明排序。</w:t>
            </w:r>
            <w:r>
              <w:rPr>
                <w:rFonts w:hint="eastAsia" w:ascii="宋体" w:hAnsi="宋体" w:cs="宋体"/>
                <w:color w:val="000000" w:themeColor="text1"/>
                <w:sz w:val="24"/>
                <w:highlight w:val="none"/>
                <w:lang w:eastAsia="zh-CN"/>
                <w14:textFill>
                  <w14:solidFill>
                    <w14:schemeClr w14:val="tx1"/>
                  </w14:solidFill>
                </w14:textFill>
              </w:rPr>
              <w:t xml:space="preserve">本项目中标候选人为</w:t>
            </w:r>
            <w:r>
              <w:rPr>
                <w:rFonts w:hint="eastAsia" w:ascii="宋体" w:hAnsi="宋体" w:cs="宋体"/>
                <w:color w:val="000000" w:themeColor="text1"/>
                <w:sz w:val="24"/>
                <w:highlight w:val="none"/>
                <w:lang w:val="en-US" w:eastAsia="zh-CN"/>
                <w14:textFill>
                  <w14:solidFill>
                    <w14:schemeClr w14:val="tx1"/>
                  </w14:solidFill>
                </w14:textFill>
              </w:rPr>
              <w:t xml:space="preserve">3名。</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40.</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gridSpan w:val="2"/>
            <w:tcW w:w="8642"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六、询问和质疑</w:t>
            </w:r>
            <w:r/>
          </w:p>
        </w:tc>
      </w:tr>
      <w:tr>
        <w:trPr>
          <w:jc w:val="center"/>
        </w:trPr>
        <w:tc>
          <w:tcPr>
            <w:tcW w:w="1368" w:type="dxa"/>
            <w:vAlign w:val="center"/>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2、供应商在法定质疑期内一次性提出针对同一采购程序环节的质疑。</w:t>
            </w:r>
            <w:r/>
          </w:p>
          <w:p>
            <w:pPr>
              <w:pStyle w:val="772"/>
              <w:spacing w:before="120"/>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eastAsia="zh-CN"/>
                <w14:textFill>
                  <w14:solidFill>
                    <w14:schemeClr w14:val="tx1"/>
                  </w14:solidFill>
                </w14:textFill>
              </w:rPr>
              <w:t xml:space="preserve">宋宇静</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val="en-US" w:eastAsia="zh-CN"/>
                <w14:textFill>
                  <w14:solidFill>
                    <w14:schemeClr w14:val="tx1"/>
                  </w14:solidFill>
                </w14:textFill>
              </w:rPr>
              <w:t xml:space="preserve">0516-87893899</w:t>
            </w:r>
            <w:r/>
          </w:p>
          <w:p>
            <w:pPr>
              <w:pStyle w:val="772"/>
              <w:spacing w:before="120"/>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地址：徐州市下淀路E20创意园B栋</w:t>
            </w:r>
            <w:r>
              <w:rPr>
                <w:rFonts w:hint="eastAsia" w:ascii="宋体" w:hAnsi="宋体" w:cs="宋体"/>
                <w:color w:val="000000" w:themeColor="text1"/>
                <w:sz w:val="24"/>
                <w:highlight w:val="none"/>
                <w:lang w:val="en-US" w:eastAsia="zh-CN"/>
                <w14:textFill>
                  <w14:solidFill>
                    <w14:schemeClr w14:val="tx1"/>
                  </w14:solidFill>
                </w14:textFill>
              </w:rPr>
              <w:t xml:space="preserve">301</w:t>
            </w:r>
            <w:r/>
          </w:p>
        </w:tc>
      </w:tr>
      <w:tr>
        <w:trPr>
          <w:jc w:val="center"/>
        </w:trPr>
        <w:tc>
          <w:tcPr>
            <w:tcW w:w="1368" w:type="dxa"/>
            <w:textDirection w:val="lrTb"/>
            <w:noWrap w:val="false"/>
          </w:tcPr>
          <w:p>
            <w:pPr>
              <w:pStyle w:val="772"/>
              <w:jc w:val="center"/>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附加说明</w:t>
            </w:r>
            <w:r/>
          </w:p>
        </w:tc>
        <w:tc>
          <w:tcPr>
            <w:tcW w:w="7274" w:type="dxa"/>
            <w:textDirection w:val="lrTb"/>
            <w:noWrap w:val="false"/>
          </w:tcPr>
          <w:p>
            <w:pPr>
              <w:pStyle w:val="772"/>
              <w:spacing w:before="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中标人在收到中标通知书时，须向采购代理机构提交《开标一览表》和《分项价格表》的数据文件（WORD格式）。</w:t>
            </w:r>
            <w:r/>
          </w:p>
        </w:tc>
      </w:tr>
    </w:tbl>
    <w:p>
      <w:pPr>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附件</w:t>
      </w:r>
      <w:r/>
    </w:p>
    <w:p>
      <w:pPr>
        <w:pStyle w:val="772"/>
        <w:ind w:firstLine="480"/>
        <w:jc w:val="center"/>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本章附件：</w:t>
      </w:r>
      <w:r>
        <w:rPr>
          <w:rFonts w:hint="eastAsia" w:ascii="宋体" w:hAnsi="宋体" w:eastAsia="宋体" w:cs="宋体"/>
          <w:b/>
          <w:color w:val="000000" w:themeColor="text1"/>
          <w:sz w:val="24"/>
          <w:highlight w:val="none"/>
          <w14:textFill>
            <w14:solidFill>
              <w14:schemeClr w14:val="tx1"/>
            </w14:solidFill>
          </w14:textFill>
        </w:rPr>
        <w:t xml:space="preserve">招标代理服务收费标准</w:t>
      </w:r>
      <w:r/>
    </w:p>
    <w:tbl>
      <w:tblPr>
        <w:tblStyle w:val="1040"/>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039"/>
              <w:spacing w:before="153" w:line="219" w:lineRule="auto"/>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中标或者成交金额</w:t>
            </w:r>
            <w:r/>
          </w:p>
        </w:tc>
        <w:tc>
          <w:tcPr>
            <w:tcW w:w="1695" w:type="dxa"/>
            <w:textDirection w:val="lrTb"/>
            <w:noWrap w:val="false"/>
          </w:tcPr>
          <w:p>
            <w:pPr>
              <w:pStyle w:val="1039"/>
              <w:spacing w:before="153" w:line="219" w:lineRule="auto"/>
              <w:rPr>
                <w:rFonts w:hint="eastAsia" w:ascii="宋体" w:hAnsi="宋体" w:eastAsia="宋体" w:cs="宋体"/>
                <w:sz w:val="24"/>
                <w:szCs w:val="24"/>
                <w:highlight w:val="none"/>
              </w:rPr>
            </w:pPr>
            <w:r>
              <w:rPr>
                <w:rFonts w:hint="eastAsia" w:ascii="宋体" w:hAnsi="宋体" w:eastAsia="宋体" w:cs="宋体"/>
                <w:b/>
                <w:bCs/>
                <w:spacing w:val="-1"/>
                <w:sz w:val="24"/>
                <w:szCs w:val="24"/>
                <w:highlight w:val="none"/>
              </w:rPr>
              <w:t xml:space="preserve">费率</w:t>
            </w:r>
            <w:r/>
          </w:p>
        </w:tc>
      </w:tr>
      <w:tr>
        <w:trPr>
          <w:jc w:val="center"/>
          <w:trHeight w:val="342"/>
        </w:trPr>
        <w:tc>
          <w:tcPr>
            <w:tcW w:w="4818" w:type="dxa"/>
            <w:textDirection w:val="lrTb"/>
            <w:noWrap w:val="false"/>
          </w:tcPr>
          <w:p>
            <w:pPr>
              <w:pStyle w:val="1039"/>
              <w:ind w:left="114"/>
              <w:spacing w:before="153" w:line="219"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最低收费金额(每个委托项目)</w:t>
            </w:r>
            <w:r/>
          </w:p>
        </w:tc>
        <w:tc>
          <w:tcPr>
            <w:tcW w:w="1695" w:type="dxa"/>
            <w:textDirection w:val="lrTb"/>
            <w:noWrap w:val="false"/>
          </w:tcPr>
          <w:p>
            <w:pPr>
              <w:pStyle w:val="1039"/>
              <w:ind w:left="87"/>
              <w:spacing w:before="154" w:line="22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5000元</w:t>
            </w:r>
            <w:r/>
          </w:p>
        </w:tc>
      </w:tr>
      <w:tr>
        <w:trPr>
          <w:jc w:val="center"/>
          <w:trHeight w:val="369"/>
        </w:trPr>
        <w:tc>
          <w:tcPr>
            <w:tcW w:w="4818" w:type="dxa"/>
            <w:textDirection w:val="lrTb"/>
            <w:noWrap w:val="false"/>
          </w:tcPr>
          <w:p>
            <w:pPr>
              <w:pStyle w:val="1039"/>
              <w:ind w:left="114"/>
              <w:spacing w:before="164" w:line="219"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50万元以下(含50万元)</w:t>
            </w:r>
            <w:r/>
          </w:p>
        </w:tc>
        <w:tc>
          <w:tcPr>
            <w:tcW w:w="1695" w:type="dxa"/>
            <w:textDirection w:val="lrTb"/>
            <w:noWrap w:val="false"/>
          </w:tcPr>
          <w:p>
            <w:pPr>
              <w:pStyle w:val="1039"/>
              <w:ind w:left="87"/>
              <w:spacing w:before="243" w:line="184"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1.6%</w:t>
            </w:r>
            <w:r/>
          </w:p>
        </w:tc>
      </w:tr>
      <w:tr>
        <w:trPr>
          <w:jc w:val="center"/>
          <w:trHeight w:val="370"/>
        </w:trPr>
        <w:tc>
          <w:tcPr>
            <w:tcW w:w="4818" w:type="dxa"/>
            <w:textDirection w:val="lrTb"/>
            <w:noWrap w:val="false"/>
          </w:tcPr>
          <w:p>
            <w:pPr>
              <w:pStyle w:val="1039"/>
              <w:ind w:left="114"/>
              <w:spacing w:before="165" w:line="219"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50-400万元(含400万元)</w:t>
            </w:r>
            <w:r/>
          </w:p>
        </w:tc>
        <w:tc>
          <w:tcPr>
            <w:tcW w:w="1695" w:type="dxa"/>
            <w:textDirection w:val="lrTb"/>
            <w:noWrap w:val="false"/>
          </w:tcPr>
          <w:p>
            <w:pPr>
              <w:pStyle w:val="1039"/>
              <w:ind w:left="87"/>
              <w:spacing w:before="244" w:line="184"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1.5%</w:t>
            </w:r>
            <w:r/>
          </w:p>
        </w:tc>
      </w:tr>
      <w:tr>
        <w:trPr>
          <w:jc w:val="center"/>
          <w:trHeight w:val="370"/>
        </w:trPr>
        <w:tc>
          <w:tcPr>
            <w:tcW w:w="4818" w:type="dxa"/>
            <w:textDirection w:val="lrTb"/>
            <w:noWrap w:val="false"/>
          </w:tcPr>
          <w:p>
            <w:pPr>
              <w:pStyle w:val="1039"/>
              <w:ind w:left="114"/>
              <w:spacing w:before="166" w:line="219"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400-1000万元(含1000万元)</w:t>
            </w:r>
            <w:r/>
          </w:p>
        </w:tc>
        <w:tc>
          <w:tcPr>
            <w:tcW w:w="1695" w:type="dxa"/>
            <w:textDirection w:val="lrTb"/>
            <w:noWrap w:val="false"/>
          </w:tcPr>
          <w:p>
            <w:pPr>
              <w:pStyle w:val="1039"/>
              <w:ind w:left="87"/>
              <w:spacing w:before="245" w:line="184"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1.1%</w:t>
            </w:r>
            <w:r/>
          </w:p>
        </w:tc>
      </w:tr>
      <w:tr>
        <w:trPr>
          <w:jc w:val="center"/>
          <w:trHeight w:val="527"/>
        </w:trPr>
        <w:tc>
          <w:tcPr>
            <w:tcW w:w="4818" w:type="dxa"/>
            <w:textDirection w:val="lrTb"/>
            <w:noWrap w:val="false"/>
          </w:tcPr>
          <w:p>
            <w:pPr>
              <w:pStyle w:val="1039"/>
              <w:ind w:left="114"/>
              <w:spacing w:before="157" w:line="219"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1000-5000万元(含5000万元)</w:t>
            </w:r>
            <w:r/>
          </w:p>
        </w:tc>
        <w:tc>
          <w:tcPr>
            <w:tcW w:w="1695" w:type="dxa"/>
            <w:textDirection w:val="lrTb"/>
            <w:noWrap w:val="false"/>
          </w:tcPr>
          <w:p>
            <w:pPr>
              <w:pStyle w:val="1039"/>
              <w:ind w:left="87"/>
              <w:spacing w:before="237" w:line="183"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0.8%</w:t>
            </w:r>
            <w:r/>
          </w:p>
        </w:tc>
      </w:tr>
      <w:tr>
        <w:trPr>
          <w:jc w:val="center"/>
          <w:trHeight w:val="372"/>
        </w:trPr>
        <w:tc>
          <w:tcPr>
            <w:tcW w:w="4818" w:type="dxa"/>
            <w:textDirection w:val="lrTb"/>
            <w:noWrap w:val="false"/>
          </w:tcPr>
          <w:p>
            <w:pPr>
              <w:pStyle w:val="1039"/>
              <w:ind w:left="114"/>
              <w:spacing w:before="168" w:line="219"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5000-1亿元(含1亿元)</w:t>
            </w:r>
            <w:r/>
          </w:p>
        </w:tc>
        <w:tc>
          <w:tcPr>
            <w:tcW w:w="1695" w:type="dxa"/>
            <w:textDirection w:val="lrTb"/>
            <w:noWrap w:val="false"/>
          </w:tcPr>
          <w:p>
            <w:pPr>
              <w:pStyle w:val="1039"/>
              <w:ind w:left="87"/>
              <w:spacing w:before="248" w:line="183"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0.25%</w:t>
            </w:r>
            <w:r/>
          </w:p>
        </w:tc>
      </w:tr>
      <w:tr>
        <w:trPr>
          <w:jc w:val="center"/>
          <w:trHeight w:val="372"/>
        </w:trPr>
        <w:tc>
          <w:tcPr>
            <w:tcW w:w="4818" w:type="dxa"/>
            <w:textDirection w:val="lrTb"/>
            <w:noWrap w:val="false"/>
          </w:tcPr>
          <w:p>
            <w:pPr>
              <w:pStyle w:val="1039"/>
              <w:ind w:left="114"/>
              <w:spacing w:before="169" w:line="219"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1-10亿元(含10亿元)</w:t>
            </w:r>
            <w:r/>
          </w:p>
        </w:tc>
        <w:tc>
          <w:tcPr>
            <w:tcW w:w="1695" w:type="dxa"/>
            <w:textDirection w:val="lrTb"/>
            <w:noWrap w:val="false"/>
          </w:tcPr>
          <w:p>
            <w:pPr>
              <w:pStyle w:val="1039"/>
              <w:ind w:left="87"/>
              <w:spacing w:before="249" w:line="183"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0.05%</w:t>
            </w:r>
            <w:r/>
          </w:p>
        </w:tc>
      </w:tr>
      <w:tr>
        <w:trPr>
          <w:jc w:val="center"/>
          <w:trHeight w:val="367"/>
        </w:trPr>
        <w:tc>
          <w:tcPr>
            <w:tcW w:w="4818" w:type="dxa"/>
            <w:textDirection w:val="lrTb"/>
            <w:noWrap w:val="false"/>
          </w:tcPr>
          <w:p>
            <w:pPr>
              <w:pStyle w:val="1039"/>
              <w:ind w:left="114"/>
              <w:spacing w:before="160" w:line="219"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10-50亿元(含50亿元)</w:t>
            </w:r>
            <w:r/>
          </w:p>
        </w:tc>
        <w:tc>
          <w:tcPr>
            <w:tcW w:w="1695" w:type="dxa"/>
            <w:textDirection w:val="lrTb"/>
            <w:noWrap w:val="false"/>
          </w:tcPr>
          <w:p>
            <w:pPr>
              <w:pStyle w:val="1039"/>
              <w:ind w:left="87"/>
              <w:spacing w:before="239" w:line="184"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0.01%</w:t>
            </w:r>
            <w:r/>
          </w:p>
        </w:tc>
      </w:tr>
      <w:tr>
        <w:trPr>
          <w:jc w:val="center"/>
          <w:trHeight w:val="380"/>
        </w:trPr>
        <w:tc>
          <w:tcPr>
            <w:tcW w:w="4818" w:type="dxa"/>
            <w:textDirection w:val="lrTb"/>
            <w:noWrap w:val="false"/>
          </w:tcPr>
          <w:p>
            <w:pPr>
              <w:pStyle w:val="1039"/>
              <w:ind w:left="114"/>
              <w:spacing w:before="172" w:line="22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50亿元以上</w:t>
            </w:r>
            <w:r/>
          </w:p>
        </w:tc>
        <w:tc>
          <w:tcPr>
            <w:tcW w:w="1695" w:type="dxa"/>
            <w:textDirection w:val="lrTb"/>
            <w:noWrap w:val="false"/>
          </w:tcPr>
          <w:p>
            <w:pPr>
              <w:pStyle w:val="1039"/>
              <w:ind w:left="87"/>
              <w:spacing w:before="251" w:line="183"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0.005%</w:t>
            </w:r>
            <w:r/>
          </w:p>
        </w:tc>
      </w:tr>
    </w:tbl>
    <w:p>
      <w:pPr>
        <w:jc w:val="left"/>
        <w:widowControl/>
        <w:rPr>
          <w:rFonts w:hint="eastAsia" w:ascii="宋体" w:hAnsi="宋体" w:cs="宋体"/>
          <w:spacing w:val="-2"/>
          <w:sz w:val="24"/>
          <w:highlight w:val="none"/>
        </w:rPr>
      </w:pPr>
      <w:r>
        <w:rPr>
          <w:rFonts w:hint="eastAsia" w:ascii="宋体" w:hAnsi="宋体" w:cs="宋体"/>
          <w:spacing w:val="-2"/>
          <w:sz w:val="24"/>
          <w:highlight w:val="none"/>
        </w:rPr>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说 明 ：</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1.按上表计算的收费为代理服务全过程的收费金额。各社会代理机构不再收取采购文件制作售卖费用。</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2.代理服务费按差额定率累进法计算。</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3.代理服务费基准金额(按差额定率累进法计算的)=中标金额(按差额定率累进法计算的)*费率(%)。</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4.代理服务费应收取金额=代理服务费基准金额(按差额定率累进法计算的)的合计数。</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5.定点类等无金额或事先不能计算出价格总额的项目，按中标(成交)金额100万元计算。</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6.有分包(分标段)的按一个项目计算。</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7.以上价格为协会指导价，双方可根据项目难易程度和优质优价原则协商确定。</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8.代理服务费用缴纳账户信息：</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名称：江苏金普工程咨询有限公司</w:t>
      </w:r>
      <w:r/>
    </w:p>
    <w:p>
      <w:pPr>
        <w:jc w:val="left"/>
        <w:widowControl/>
        <w:rPr>
          <w:rFonts w:hint="eastAsia" w:ascii="宋体" w:hAnsi="宋体" w:cs="宋体"/>
          <w:spacing w:val="-2"/>
          <w:sz w:val="24"/>
          <w:highlight w:val="none"/>
        </w:rPr>
      </w:pPr>
      <w:r>
        <w:rPr>
          <w:rFonts w:hint="eastAsia" w:ascii="宋体" w:hAnsi="宋体" w:cs="宋体"/>
          <w:spacing w:val="-2"/>
          <w:sz w:val="24"/>
          <w:highlight w:val="none"/>
        </w:rPr>
        <w:t xml:space="preserve">开户行：江苏银行股份有限公司徐州云龙支行</w:t>
      </w:r>
      <w:r/>
    </w:p>
    <w:p>
      <w:pPr>
        <w:jc w:val="left"/>
        <w:widowControl/>
        <w:rPr>
          <w:rFonts w:hint="eastAsia" w:ascii="宋体" w:hAnsi="宋体" w:cs="宋体"/>
          <w:spacing w:val="-2"/>
          <w:sz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spacing w:val="-2"/>
          <w:sz w:val="24"/>
          <w:highlight w:val="none"/>
        </w:rPr>
        <w:t xml:space="preserve">银行帐号：60030188000207877</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numPr>
          <w:ilvl w:val="0"/>
          <w:numId w:val="4"/>
        </w:num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评标标准</w:t>
      </w:r>
      <w:r/>
    </w:p>
    <w:p>
      <w:pPr>
        <w:pStyle w:val="826"/>
        <w:numPr>
          <w:ilvl w:val="0"/>
          <w:numId w:val="0"/>
        </w:numPr>
        <w:jc w:val="center"/>
        <w:rPr>
          <w:rFonts w:hint="eastAsia" w:eastAsia="宋体"/>
          <w:b/>
          <w:bCs/>
          <w:color w:val="auto"/>
          <w:highlight w:val="none"/>
        </w:rPr>
      </w:pPr>
      <w:r>
        <w:rPr>
          <w:rFonts w:hint="eastAsia"/>
          <w:b/>
          <w:bCs/>
          <w:color w:val="auto"/>
          <w:sz w:val="32"/>
          <w:szCs w:val="32"/>
          <w:highlight w:val="none"/>
          <w:lang w:eastAsia="zh-CN"/>
        </w:rPr>
        <w:t xml:space="preserve">采购包</w:t>
      </w:r>
      <w:r>
        <w:rPr>
          <w:rFonts w:hint="eastAsia"/>
          <w:b/>
          <w:bCs/>
          <w:color w:val="auto"/>
          <w:sz w:val="32"/>
          <w:szCs w:val="32"/>
          <w:highlight w:val="none"/>
          <w:lang w:val="en-US" w:eastAsia="zh-CN"/>
        </w:rPr>
        <w:t xml:space="preserve">1</w:t>
      </w:r>
      <w:r>
        <w:rPr>
          <w:rFonts w:hint="eastAsia"/>
          <w:b/>
          <w:bCs/>
          <w:color w:val="auto"/>
          <w:sz w:val="32"/>
          <w:szCs w:val="32"/>
          <w:highlight w:val="none"/>
          <w:lang w:eastAsia="zh-CN"/>
        </w:rPr>
        <w:t xml:space="preserve">、</w:t>
      </w:r>
      <w:r>
        <w:rPr>
          <w:rFonts w:hint="eastAsia"/>
          <w:b/>
          <w:bCs/>
          <w:color w:val="auto"/>
          <w:sz w:val="32"/>
          <w:szCs w:val="32"/>
          <w:highlight w:val="none"/>
          <w:lang w:val="en-US" w:eastAsia="zh-CN"/>
        </w:rPr>
        <w:t xml:space="preserve">2</w:t>
      </w:r>
      <w:r/>
    </w:p>
    <w:tbl>
      <w:tblPr>
        <w:tblStyle w:val="737"/>
        <w:tblW w:w="51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77"/>
        <w:gridCol w:w="1259"/>
        <w:gridCol w:w="934"/>
        <w:gridCol w:w="5952"/>
      </w:tblGrid>
      <w:tr>
        <w:trPr/>
        <w:tc>
          <w:tcPr>
            <w:gridSpan w:val="2"/>
            <w:tcW w:w="1306" w:type="pct"/>
            <w:vAlign w:val="center"/>
            <w:textDirection w:val="lrTb"/>
            <w:noWrap w:val="false"/>
          </w:tcPr>
          <w:p>
            <w:pPr>
              <w:jc w:val="center"/>
              <w:spacing w:line="360" w:lineRule="auto"/>
              <w:rPr>
                <w:rFonts w:hint="eastAsia" w:ascii="宋体" w:hAnsi="宋体" w:eastAsia="宋体" w:cs="宋体"/>
                <w:b/>
                <w:bCs/>
                <w:color w:val="auto"/>
                <w:sz w:val="22"/>
                <w:highlight w:val="none"/>
              </w:rPr>
            </w:pPr>
            <w:r/>
            <w:bookmarkStart w:id="2" w:name="_Toc522790134"/>
            <w:r/>
            <w:bookmarkStart w:id="3" w:name="_Toc523404699"/>
            <w:r>
              <w:rPr>
                <w:rFonts w:hint="eastAsia" w:ascii="宋体" w:hAnsi="宋体" w:eastAsia="宋体" w:cs="宋体"/>
                <w:b/>
                <w:bCs/>
                <w:color w:val="auto"/>
                <w:sz w:val="22"/>
                <w:highlight w:val="none"/>
              </w:rPr>
              <w:t xml:space="preserve">评审因素</w:t>
            </w:r>
            <w:r/>
          </w:p>
        </w:tc>
        <w:tc>
          <w:tcPr>
            <w:tcW w:w="501" w:type="pct"/>
            <w:vAlign w:val="center"/>
            <w:textDirection w:val="lrTb"/>
            <w:noWrap w:val="false"/>
          </w:tcPr>
          <w:p>
            <w:pPr>
              <w:jc w:val="center"/>
              <w:spacing w:line="360" w:lineRule="auto"/>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分数</w:t>
            </w:r>
            <w:r/>
          </w:p>
        </w:tc>
        <w:tc>
          <w:tcPr>
            <w:tcW w:w="3192" w:type="pct"/>
            <w:vAlign w:val="center"/>
            <w:textDirection w:val="lrTb"/>
            <w:noWrap w:val="false"/>
          </w:tcPr>
          <w:p>
            <w:pPr>
              <w:ind w:firstLine="442"/>
              <w:jc w:val="center"/>
              <w:spacing w:line="360" w:lineRule="auto"/>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评审标准</w:t>
            </w:r>
            <w:r/>
          </w:p>
        </w:tc>
      </w:tr>
      <w:tr>
        <w:trPr/>
        <w:tc>
          <w:tcPr>
            <w:tcW w:w="631" w:type="pct"/>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价格</w:t>
            </w:r>
            <w:r>
              <w:rPr>
                <w:rFonts w:hint="eastAsia" w:ascii="宋体" w:hAnsi="宋体" w:eastAsia="宋体" w:cs="宋体"/>
                <w:color w:val="auto"/>
                <w:sz w:val="22"/>
                <w:szCs w:val="22"/>
                <w:highlight w:val="none"/>
              </w:rPr>
              <w:t xml:space="preserve">分</w:t>
            </w:r>
            <w:r/>
          </w:p>
        </w:tc>
        <w:tc>
          <w:tcPr>
            <w:tcW w:w="674"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w:t>
            </w:r>
            <w:r/>
          </w:p>
        </w:tc>
        <w:tc>
          <w:tcPr>
            <w:tcW w:w="501" w:type="pct"/>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分</w:t>
            </w:r>
            <w:r/>
          </w:p>
        </w:tc>
        <w:tc>
          <w:tcPr>
            <w:tcW w:w="3192"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价格分统一采用低价优先法，即满足招标文件要求且价格最低的投标报价为评标基准价，其价格分为满分</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30</w:t>
            </w:r>
            <w:r>
              <w:rPr>
                <w:rFonts w:hint="eastAsia" w:ascii="宋体" w:hAnsi="宋体" w:eastAsia="宋体" w:cs="宋体"/>
                <w:color w:val="auto"/>
                <w:sz w:val="22"/>
                <w:szCs w:val="22"/>
                <w:highlight w:val="none"/>
              </w:rPr>
              <w:t xml:space="preserve">分。其他投标人的价格分</w:t>
            </w:r>
            <w:bookmarkStart w:id="6" w:name="_GoBack"/>
            <w:r/>
            <w:bookmarkEnd w:id="6"/>
            <w:r>
              <w:rPr>
                <w:rFonts w:hint="eastAsia" w:ascii="宋体" w:hAnsi="宋体" w:eastAsia="宋体" w:cs="宋体"/>
                <w:color w:val="auto"/>
                <w:sz w:val="22"/>
                <w:szCs w:val="22"/>
                <w:highlight w:val="none"/>
              </w:rPr>
              <w:t xml:space="preserve">统一按照下列公式计算：</w:t>
            </w:r>
            <w:r/>
          </w:p>
          <w:p>
            <w:pPr>
              <w:spacing w:line="360" w:lineRule="auto"/>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投标报价得分＝（评标基准价/各投标人评审价格）×</w:t>
            </w:r>
            <w:r>
              <w:rPr>
                <w:rFonts w:hint="eastAsia" w:ascii="宋体" w:hAnsi="宋体" w:cs="宋体"/>
                <w:color w:val="auto"/>
                <w:sz w:val="22"/>
                <w:szCs w:val="22"/>
                <w:highlight w:val="none"/>
                <w:lang w:val="en-US" w:eastAsia="zh-CN"/>
              </w:rPr>
              <w:t xml:space="preserve">30</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注：得分四舍五入保留小数点后2位。</w:t>
            </w:r>
            <w:r/>
          </w:p>
        </w:tc>
      </w:tr>
      <w:tr>
        <w:trPr/>
        <w:tc>
          <w:tcPr>
            <w:tcW w:w="631" w:type="pct"/>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技术响应</w:t>
            </w:r>
            <w:r/>
          </w:p>
        </w:tc>
        <w:tc>
          <w:tcPr>
            <w:tcW w:w="674" w:type="pct"/>
            <w:vAlign w:val="center"/>
            <w:textDirection w:val="lrTb"/>
            <w:noWrap w:val="false"/>
          </w:tcPr>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技术参数响应</w:t>
            </w:r>
            <w:r/>
          </w:p>
        </w:tc>
        <w:tc>
          <w:tcPr>
            <w:tcW w:w="501" w:type="pct"/>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40</w:t>
            </w:r>
            <w:r>
              <w:rPr>
                <w:rFonts w:hint="eastAsia" w:ascii="宋体" w:hAnsi="宋体" w:eastAsia="宋体" w:cs="宋体"/>
                <w:color w:val="auto"/>
                <w:sz w:val="22"/>
                <w:szCs w:val="22"/>
                <w:highlight w:val="none"/>
              </w:rPr>
              <w:t xml:space="preserve">分</w:t>
            </w:r>
            <w:r/>
          </w:p>
        </w:tc>
        <w:tc>
          <w:tcPr>
            <w:tcW w:w="3192" w:type="pct"/>
            <w:vAlign w:val="center"/>
            <w:textDirection w:val="lrTb"/>
            <w:noWrap w:val="false"/>
          </w:tcPr>
          <w:p>
            <w:pPr>
              <w:keepLines w:val="0"/>
              <w:keepNext w:val="0"/>
              <w:pageBreakBefore w:val="0"/>
              <w:spacing w:line="288"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根据投标产品的响应程度进行评价，完全符合招标文件第六章《采购需求》要求的，得基本分</w:t>
            </w:r>
            <w:r>
              <w:rPr>
                <w:rFonts w:hint="eastAsia" w:ascii="宋体" w:hAnsi="宋体" w:cs="宋体"/>
                <w:color w:val="auto"/>
                <w:sz w:val="22"/>
                <w:szCs w:val="22"/>
                <w:highlight w:val="none"/>
                <w:lang w:val="en-US" w:eastAsia="zh-CN"/>
              </w:rPr>
              <w:t xml:space="preserve">40</w:t>
            </w:r>
            <w:r>
              <w:rPr>
                <w:rFonts w:hint="eastAsia" w:ascii="宋体" w:hAnsi="宋体" w:eastAsia="宋体" w:cs="宋体"/>
                <w:color w:val="auto"/>
                <w:sz w:val="22"/>
                <w:szCs w:val="22"/>
                <w:highlight w:val="none"/>
                <w:lang w:val="en-US" w:eastAsia="zh-CN"/>
              </w:rPr>
              <w:t xml:space="preserve">分；加“★”标志的为实质性响应指标</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实质性响应指标为不允许偏离的实质性要求和条件，如有偏离，在符合性审查时按照投标无效处理</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“非实质性响应指标”</w:t>
            </w:r>
            <w:r>
              <w:rPr>
                <w:rFonts w:hint="eastAsia" w:ascii="宋体" w:hAnsi="宋体" w:cs="宋体"/>
                <w:color w:val="auto"/>
                <w:sz w:val="22"/>
                <w:szCs w:val="22"/>
                <w:highlight w:val="none"/>
                <w:lang w:val="en-US" w:eastAsia="zh-CN"/>
              </w:rPr>
              <w:t xml:space="preserve">中</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加“▲”标志的，</w:t>
            </w:r>
            <w:r>
              <w:rPr>
                <w:rFonts w:hint="eastAsia" w:ascii="宋体" w:hAnsi="宋体" w:eastAsia="宋体" w:cs="宋体"/>
                <w:color w:val="auto"/>
                <w:sz w:val="22"/>
                <w:szCs w:val="22"/>
                <w:highlight w:val="none"/>
                <w:lang w:val="en-US" w:eastAsia="zh-CN"/>
              </w:rPr>
              <w:t xml:space="preserve">每有一项不满足或负偏离的从基本分中减</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cs="宋体"/>
                <w:color w:val="auto"/>
                <w:sz w:val="22"/>
                <w:szCs w:val="22"/>
                <w:highlight w:val="none"/>
                <w:lang w:val="en-US" w:eastAsia="zh-CN"/>
              </w:rPr>
              <w:t xml:space="preserve">其他无标志的，</w:t>
            </w:r>
            <w:r>
              <w:rPr>
                <w:rFonts w:hint="eastAsia" w:ascii="宋体" w:hAnsi="宋体" w:eastAsia="宋体" w:cs="宋体"/>
                <w:color w:val="auto"/>
                <w:sz w:val="22"/>
                <w:szCs w:val="22"/>
                <w:highlight w:val="none"/>
                <w:lang w:val="en-US" w:eastAsia="zh-CN"/>
              </w:rPr>
              <w:t xml:space="preserve">每有一项不满足或负偏离的从基本分中减</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分，扣完为止。</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本项最高得</w:t>
            </w:r>
            <w:r>
              <w:rPr>
                <w:rFonts w:hint="eastAsia" w:ascii="宋体" w:hAnsi="宋体" w:cs="宋体"/>
                <w:color w:val="auto"/>
                <w:sz w:val="22"/>
                <w:szCs w:val="22"/>
                <w:highlight w:val="none"/>
                <w:lang w:val="en-US" w:eastAsia="zh-CN"/>
              </w:rPr>
              <w:t xml:space="preserve">40</w:t>
            </w:r>
            <w:r>
              <w:rPr>
                <w:rFonts w:hint="eastAsia" w:ascii="宋体" w:hAnsi="宋体" w:eastAsia="宋体" w:cs="宋体"/>
                <w:color w:val="auto"/>
                <w:sz w:val="22"/>
                <w:szCs w:val="22"/>
                <w:highlight w:val="none"/>
                <w:lang w:val="en-US" w:eastAsia="zh-CN"/>
              </w:rPr>
              <w:t xml:space="preserve">分，最低得0分。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注：《偏离表》需逐条应答详细</w:t>
            </w:r>
            <w:r>
              <w:rPr>
                <w:rFonts w:hint="eastAsia" w:ascii="宋体" w:hAnsi="宋体" w:cs="宋体"/>
                <w:color w:val="auto"/>
                <w:sz w:val="22"/>
                <w:szCs w:val="22"/>
                <w:highlight w:val="none"/>
                <w:lang w:val="en-US" w:eastAsia="zh-CN"/>
              </w:rPr>
              <w:t xml:space="preserve">技术</w:t>
            </w:r>
            <w:r>
              <w:rPr>
                <w:rFonts w:hint="eastAsia" w:ascii="宋体" w:hAnsi="宋体" w:eastAsia="宋体" w:cs="宋体"/>
                <w:color w:val="auto"/>
                <w:sz w:val="22"/>
                <w:szCs w:val="22"/>
                <w:highlight w:val="none"/>
                <w:lang w:val="en-US" w:eastAsia="zh-CN"/>
              </w:rPr>
              <w:t xml:space="preserve">参数要求，不能实现的需特别注明负偏离，偏离表中无偏离的产品参数视为供应商所提供的产品完全符合技术参数的要求，若验收过程中发现产品与投标参数不符合的情况，视为虚假应标，采购方将有权追究投标人的法律责任并报备行政主管部门备案。</w:t>
            </w:r>
            <w:r/>
          </w:p>
        </w:tc>
      </w:tr>
      <w:tr>
        <w:trPr>
          <w:trHeight w:val="2218"/>
        </w:trPr>
        <w:tc>
          <w:tcPr>
            <w:tcW w:w="631" w:type="pct"/>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w:t>
            </w:r>
            <w:r>
              <w:rPr>
                <w:rFonts w:hint="eastAsia" w:ascii="宋体" w:hAnsi="宋体" w:cs="宋体"/>
                <w:color w:val="auto"/>
                <w:sz w:val="22"/>
                <w:szCs w:val="22"/>
                <w:highlight w:val="none"/>
                <w:lang w:eastAsia="zh-CN"/>
              </w:rPr>
              <w:t xml:space="preserve">实力</w:t>
            </w:r>
            <w:r/>
          </w:p>
        </w:tc>
        <w:tc>
          <w:tcPr>
            <w:tcW w:w="674"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企业业绩</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64"/>
              <w:rPr>
                <w:rFonts w:hint="eastAsia"/>
                <w:color w:val="auto"/>
                <w:sz w:val="22"/>
                <w:szCs w:val="22"/>
                <w:highlight w:val="none"/>
              </w:rPr>
            </w:pPr>
            <w:r>
              <w:rPr>
                <w:rFonts w:hint="eastAsia"/>
                <w:color w:val="auto"/>
                <w:sz w:val="22"/>
                <w:szCs w:val="22"/>
                <w:highlight w:val="none"/>
              </w:rPr>
            </w:r>
            <w:r/>
          </w:p>
        </w:tc>
        <w:tc>
          <w:tcPr>
            <w:tcW w:w="501" w:type="pct"/>
            <w:vAlign w:val="center"/>
            <w:textDirection w:val="lrTb"/>
            <w:noWrap w:val="false"/>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64"/>
              <w:rPr>
                <w:rFonts w:hint="eastAsia"/>
                <w:color w:val="auto"/>
                <w:sz w:val="22"/>
                <w:szCs w:val="22"/>
                <w:highlight w:val="none"/>
              </w:rPr>
            </w:pPr>
            <w:r>
              <w:rPr>
                <w:rFonts w:hint="eastAsia"/>
                <w:color w:val="auto"/>
                <w:sz w:val="22"/>
                <w:szCs w:val="22"/>
                <w:highlight w:val="none"/>
              </w:rPr>
            </w:r>
            <w:r/>
          </w:p>
        </w:tc>
        <w:tc>
          <w:tcPr>
            <w:tcW w:w="3192"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投标人自202</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1月1日以来具有与本项目采购标的相同或类似项目业绩的</w:t>
            </w:r>
            <w:r>
              <w:rPr>
                <w:rFonts w:hint="eastAsia" w:ascii="宋体" w:hAnsi="宋体" w:eastAsia="宋体" w:cs="宋体"/>
                <w:color w:val="auto"/>
                <w:sz w:val="22"/>
                <w:szCs w:val="22"/>
                <w:highlight w:val="none"/>
              </w:rPr>
              <w:t xml:space="preserve">，每提供1</w:t>
            </w:r>
            <w:r>
              <w:rPr>
                <w:rFonts w:hint="eastAsia" w:ascii="宋体" w:hAnsi="宋体" w:eastAsia="宋体" w:cs="宋体"/>
                <w:color w:val="auto"/>
                <w:sz w:val="22"/>
                <w:szCs w:val="22"/>
                <w:highlight w:val="none"/>
                <w:lang w:eastAsia="zh-CN"/>
              </w:rPr>
              <w:t xml:space="preserve">份</w:t>
            </w:r>
            <w:r>
              <w:rPr>
                <w:rFonts w:hint="eastAsia" w:ascii="宋体" w:hAnsi="宋体" w:eastAsia="宋体" w:cs="宋体"/>
                <w:color w:val="auto"/>
                <w:sz w:val="22"/>
                <w:szCs w:val="22"/>
                <w:highlight w:val="none"/>
              </w:rPr>
              <w:t xml:space="preserve">合同得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分，最多得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注：1.须同时提供中标（成交）通知书</w:t>
            </w:r>
            <w:r>
              <w:rPr>
                <w:rFonts w:hint="eastAsia" w:ascii="宋体" w:hAnsi="宋体" w:cs="宋体"/>
                <w:color w:val="auto"/>
                <w:sz w:val="22"/>
                <w:szCs w:val="22"/>
                <w:highlight w:val="none"/>
                <w:lang w:eastAsia="zh-CN"/>
              </w:rPr>
              <w:t xml:space="preserve">及</w:t>
            </w:r>
            <w:r>
              <w:rPr>
                <w:rFonts w:hint="eastAsia" w:ascii="宋体" w:hAnsi="宋体" w:eastAsia="宋体" w:cs="宋体"/>
                <w:color w:val="auto"/>
                <w:sz w:val="22"/>
                <w:szCs w:val="22"/>
                <w:highlight w:val="none"/>
              </w:rPr>
              <w:t xml:space="preserve">合同</w:t>
            </w:r>
            <w:r>
              <w:rPr>
                <w:rFonts w:hint="eastAsia" w:ascii="宋体" w:hAnsi="宋体" w:cs="宋体"/>
                <w:color w:val="auto"/>
                <w:sz w:val="22"/>
                <w:szCs w:val="22"/>
                <w:highlight w:val="none"/>
                <w:lang w:eastAsia="zh-CN"/>
              </w:rPr>
              <w:t xml:space="preserve">的原件扫描</w:t>
            </w:r>
            <w:r>
              <w:rPr>
                <w:rFonts w:hint="eastAsia" w:ascii="宋体" w:hAnsi="宋体" w:eastAsia="宋体" w:cs="宋体"/>
                <w:color w:val="auto"/>
                <w:sz w:val="22"/>
                <w:szCs w:val="22"/>
                <w:highlight w:val="none"/>
              </w:rPr>
              <w:t xml:space="preserve">件，合同应能反映相关内容</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加盖电子签章方可得分</w:t>
            </w:r>
            <w:r>
              <w:rPr>
                <w:rFonts w:hint="eastAsia" w:ascii="宋体" w:hAnsi="宋体" w:eastAsia="宋体" w:cs="宋体"/>
                <w:color w:val="auto"/>
                <w:sz w:val="22"/>
                <w:szCs w:val="22"/>
                <w:highlight w:val="none"/>
                <w:lang w:eastAsia="zh-CN"/>
              </w:rPr>
              <w:t xml:space="preserve">。</w:t>
            </w:r>
            <w:r/>
          </w:p>
          <w:p>
            <w:pPr>
              <w:numPr>
                <w:ilvl w:val="0"/>
                <w:numId w:val="5"/>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时间以合同签订时间为准。</w:t>
            </w:r>
            <w:r/>
          </w:p>
        </w:tc>
      </w:tr>
      <w:tr>
        <w:trPr>
          <w:trHeight w:val="90"/>
        </w:trPr>
        <w:tc>
          <w:tcPr>
            <w:tcW w:w="631" w:type="pct"/>
            <w:vAlign w:val="center"/>
            <w:vMerge w:val="restart"/>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项目实施方案</w:t>
            </w:r>
            <w:r/>
          </w:p>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674"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供货方案、安装调试方案</w:t>
            </w:r>
            <w:r/>
          </w:p>
        </w:tc>
        <w:tc>
          <w:tcPr>
            <w:tcW w:w="501"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6分</w:t>
            </w:r>
            <w:r/>
          </w:p>
        </w:tc>
        <w:tc>
          <w:tcPr>
            <w:tcW w:w="3192" w:type="pct"/>
            <w:vAlign w:val="center"/>
            <w:textDirection w:val="lrTb"/>
            <w:noWrap w:val="false"/>
          </w:tcPr>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投标文件提供针对本项目</w:t>
            </w:r>
            <w:r>
              <w:rPr>
                <w:rFonts w:hint="eastAsia" w:ascii="宋体" w:hAnsi="宋体" w:eastAsia="宋体" w:cs="宋体"/>
                <w:color w:val="auto"/>
                <w:sz w:val="22"/>
                <w:szCs w:val="22"/>
                <w:highlight w:val="none"/>
                <w:lang w:val="en-US" w:eastAsia="zh-CN"/>
              </w:rPr>
              <w:t xml:space="preserve">供货方案、安装调试方案，内容包括但不限于供货方案、供货进度计划（包括供货周期、供货进度安排等）、安装调试方案（考虑符合采购人实情情况），</w:t>
            </w:r>
            <w:r>
              <w:rPr>
                <w:rFonts w:hint="eastAsia" w:ascii="宋体" w:hAnsi="宋体" w:eastAsia="宋体" w:cs="宋体"/>
                <w:color w:val="auto"/>
                <w:sz w:val="22"/>
                <w:szCs w:val="22"/>
                <w:highlight w:val="none"/>
                <w:lang w:eastAsia="zh-CN"/>
              </w:rPr>
              <w:t xml:space="preserve">要求表述内容完整、合理、可行。</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1）内容非常完整、科学合理性强、可行性强，得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（2）内容完整性较好、科学合理较强、可行性较强，得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（3）内容完整性一般、科学合理性一般、可行性一般，得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（4）内容完整性较差、科学合理性较差、可行性较差，得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）内容完整性差、科学合理性差、可行性差，得1分；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未提供的不得分，本项最高得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分，最低得0分。</w:t>
            </w:r>
            <w:r/>
          </w:p>
        </w:tc>
      </w:tr>
      <w:tr>
        <w:trPr>
          <w:trHeight w:val="90"/>
        </w:trPr>
        <w:tc>
          <w:tcPr>
            <w:tcW w:w="631" w:type="pct"/>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674"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培训方案</w:t>
            </w:r>
            <w:r/>
          </w:p>
        </w:tc>
        <w:tc>
          <w:tcPr>
            <w:tcW w:w="501"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6分</w:t>
            </w:r>
            <w:r/>
          </w:p>
        </w:tc>
        <w:tc>
          <w:tcPr>
            <w:tcW w:w="3192" w:type="pct"/>
            <w:vAlign w:val="center"/>
            <w:textDirection w:val="lrTb"/>
            <w:noWrap w:val="false"/>
          </w:tcPr>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投标文件提供</w:t>
            </w:r>
            <w:r>
              <w:rPr>
                <w:rFonts w:hint="eastAsia" w:ascii="宋体" w:hAnsi="宋体" w:eastAsia="宋体" w:cs="宋体"/>
                <w:color w:val="auto"/>
                <w:sz w:val="22"/>
                <w:szCs w:val="22"/>
                <w:highlight w:val="none"/>
                <w:lang w:eastAsia="zh-CN"/>
              </w:rPr>
              <w:t xml:space="preserve">对本项目</w:t>
            </w:r>
            <w:r>
              <w:rPr>
                <w:rFonts w:hint="eastAsia" w:ascii="宋体" w:hAnsi="宋体" w:eastAsia="宋体" w:cs="宋体"/>
                <w:color w:val="auto"/>
                <w:sz w:val="22"/>
                <w:szCs w:val="22"/>
                <w:highlight w:val="none"/>
                <w:lang w:val="en-US" w:eastAsia="zh-CN"/>
              </w:rPr>
              <w:t xml:space="preserve">的培训方案、</w:t>
            </w:r>
            <w:r>
              <w:rPr>
                <w:rFonts w:hint="eastAsia" w:ascii="宋体" w:hAnsi="宋体" w:cs="宋体"/>
                <w:color w:val="auto"/>
                <w:sz w:val="22"/>
                <w:szCs w:val="22"/>
                <w:highlight w:val="none"/>
                <w:lang w:val="en-US" w:eastAsia="zh-CN"/>
              </w:rPr>
              <w:t xml:space="preserve">培训时长、</w:t>
            </w:r>
            <w:r>
              <w:rPr>
                <w:rFonts w:hint="eastAsia" w:ascii="宋体" w:hAnsi="宋体" w:eastAsia="宋体" w:cs="宋体"/>
                <w:color w:val="auto"/>
                <w:sz w:val="22"/>
                <w:szCs w:val="22"/>
                <w:highlight w:val="none"/>
                <w:lang w:val="en-US" w:eastAsia="zh-CN"/>
              </w:rPr>
              <w:t xml:space="preserve">人员组成、经验、计划安排及内容，</w:t>
            </w:r>
            <w:r>
              <w:rPr>
                <w:rFonts w:hint="eastAsia" w:ascii="宋体" w:hAnsi="宋体" w:eastAsia="宋体" w:cs="宋体"/>
                <w:color w:val="auto"/>
                <w:sz w:val="22"/>
                <w:szCs w:val="22"/>
                <w:highlight w:val="none"/>
                <w:lang w:eastAsia="zh-CN"/>
              </w:rPr>
              <w:t xml:space="preserve">要求表述内容完整、合理、可行。</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（1）内容非常完整、科学合理性强、可行性强，得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（2）内容完整性较好、科学合理较强、可行性较强，得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（3）内容完整性一般、科学合理性一般、可行性一般，得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（4）内容完整性较差、科学合理性较差、可行性较差，得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）内容完整性差、科学合理性差、可行性差，得1分；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未提供的不得分，本项最高得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分，最低得0分。</w:t>
            </w:r>
            <w:r/>
          </w:p>
        </w:tc>
      </w:tr>
      <w:tr>
        <w:trPr/>
        <w:tc>
          <w:tcPr>
            <w:tcW w:w="631" w:type="pct"/>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c>
          <w:tcPr>
            <w:tcW w:w="674"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售后服务方案</w:t>
            </w:r>
            <w:r/>
          </w:p>
        </w:tc>
        <w:tc>
          <w:tcPr>
            <w:tcW w:w="501" w:type="pct"/>
            <w:vAlign w:val="center"/>
            <w:textDirection w:val="lrTb"/>
            <w:noWrap w:val="false"/>
          </w:tcPr>
          <w:p>
            <w:pPr>
              <w:keepLines w:val="0"/>
              <w:keepNext w:val="0"/>
              <w:pageBreakBefore w:val="0"/>
              <w:spacing w:line="288" w:lineRule="auto"/>
              <w:widowControl w:val="off"/>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en-US" w:eastAsia="zh-CN"/>
              </w:rPr>
              <w:t xml:space="preserve">分</w:t>
            </w:r>
            <w:bookmarkEnd w:id="2"/>
            <w:r/>
            <w:bookmarkEnd w:id="3"/>
            <w:r/>
            <w:r/>
          </w:p>
        </w:tc>
        <w:tc>
          <w:tcPr>
            <w:tcW w:w="3192" w:type="pct"/>
            <w:vAlign w:val="center"/>
            <w:textDirection w:val="lrTb"/>
            <w:noWrap w:val="false"/>
          </w:tcPr>
          <w:p>
            <w:pPr>
              <w:numPr>
                <w:ilvl w:val="0"/>
                <w:numId w:val="0"/>
              </w:num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投标文件提供</w:t>
            </w:r>
            <w:r>
              <w:rPr>
                <w:rFonts w:hint="eastAsia" w:ascii="宋体" w:hAnsi="宋体" w:cs="宋体"/>
                <w:color w:val="auto"/>
                <w:sz w:val="22"/>
                <w:szCs w:val="22"/>
                <w:highlight w:val="none"/>
                <w:lang w:eastAsia="zh-CN"/>
              </w:rPr>
              <w:t xml:space="preserve">对本项目</w:t>
            </w:r>
            <w:r>
              <w:rPr>
                <w:rFonts w:hint="eastAsia" w:ascii="宋体" w:hAnsi="宋体" w:cs="宋体"/>
                <w:color w:val="auto"/>
                <w:sz w:val="22"/>
                <w:szCs w:val="22"/>
                <w:highlight w:val="none"/>
                <w:lang w:val="en-US" w:eastAsia="zh-CN"/>
              </w:rPr>
              <w:t xml:space="preserve">的售后服务架构、服务人员及相关资质、零配件、维修备品备件等的供应保障措施、故障解决方案、服务响应时间等，</w:t>
            </w:r>
            <w:r>
              <w:rPr>
                <w:rFonts w:hint="eastAsia" w:ascii="宋体" w:hAnsi="宋体" w:cs="宋体"/>
                <w:color w:val="auto"/>
                <w:sz w:val="22"/>
                <w:szCs w:val="22"/>
                <w:highlight w:val="none"/>
                <w:lang w:eastAsia="zh-CN"/>
              </w:rPr>
              <w:t xml:space="preserve">要求表述内容完整、合理、可行。</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（1）内容</w:t>
            </w:r>
            <w:r>
              <w:rPr>
                <w:rFonts w:hint="eastAsia" w:ascii="宋体" w:hAnsi="宋体" w:cs="宋体"/>
                <w:color w:val="auto"/>
                <w:sz w:val="22"/>
                <w:szCs w:val="22"/>
                <w:highlight w:val="none"/>
                <w:lang w:eastAsia="zh-CN"/>
              </w:rPr>
              <w:t xml:space="preserve">非常</w:t>
            </w:r>
            <w:r>
              <w:rPr>
                <w:rFonts w:hint="eastAsia" w:ascii="宋体" w:hAnsi="宋体" w:eastAsia="宋体" w:cs="宋体"/>
                <w:color w:val="auto"/>
                <w:sz w:val="22"/>
                <w:szCs w:val="22"/>
                <w:highlight w:val="none"/>
              </w:rPr>
              <w:t xml:space="preserve">完整、</w:t>
            </w:r>
            <w:r>
              <w:rPr>
                <w:rFonts w:hint="eastAsia" w:ascii="宋体" w:hAnsi="宋体" w:cs="宋体"/>
                <w:color w:val="auto"/>
                <w:sz w:val="22"/>
                <w:szCs w:val="22"/>
                <w:highlight w:val="none"/>
                <w:lang w:eastAsia="zh-CN"/>
              </w:rPr>
              <w:t xml:space="preserve">科学</w:t>
            </w:r>
            <w:r>
              <w:rPr>
                <w:rFonts w:hint="eastAsia" w:ascii="宋体" w:hAnsi="宋体" w:eastAsia="宋体" w:cs="宋体"/>
                <w:color w:val="auto"/>
                <w:sz w:val="22"/>
                <w:szCs w:val="22"/>
                <w:highlight w:val="none"/>
              </w:rPr>
              <w:t xml:space="preserve">合理</w:t>
            </w:r>
            <w:r>
              <w:rPr>
                <w:rFonts w:hint="eastAsia" w:ascii="宋体" w:hAnsi="宋体" w:cs="宋体"/>
                <w:color w:val="auto"/>
                <w:sz w:val="22"/>
                <w:szCs w:val="22"/>
                <w:highlight w:val="none"/>
                <w:lang w:eastAsia="zh-CN"/>
              </w:rPr>
              <w:t xml:space="preserve">性强</w:t>
            </w:r>
            <w:r>
              <w:rPr>
                <w:rFonts w:hint="eastAsia" w:ascii="宋体" w:hAnsi="宋体" w:eastAsia="宋体" w:cs="宋体"/>
                <w:color w:val="auto"/>
                <w:sz w:val="22"/>
                <w:szCs w:val="22"/>
                <w:highlight w:val="none"/>
              </w:rPr>
              <w:t xml:space="preserve">、可行</w:t>
            </w:r>
            <w:r>
              <w:rPr>
                <w:rFonts w:hint="eastAsia" w:ascii="宋体" w:hAnsi="宋体" w:cs="宋体"/>
                <w:color w:val="auto"/>
                <w:sz w:val="22"/>
                <w:szCs w:val="22"/>
                <w:highlight w:val="none"/>
                <w:lang w:eastAsia="zh-CN"/>
              </w:rPr>
              <w:t xml:space="preserve">性强</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（2）内容完整</w:t>
            </w:r>
            <w:r>
              <w:rPr>
                <w:rFonts w:hint="eastAsia" w:ascii="宋体" w:hAnsi="宋体" w:eastAsia="宋体" w:cs="宋体"/>
                <w:color w:val="auto"/>
                <w:sz w:val="22"/>
                <w:szCs w:val="22"/>
                <w:highlight w:val="none"/>
                <w:lang w:eastAsia="zh-CN"/>
              </w:rPr>
              <w:t xml:space="preserve">性较好</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eastAsia="zh-CN"/>
              </w:rPr>
              <w:t xml:space="preserve">科学</w:t>
            </w:r>
            <w:r>
              <w:rPr>
                <w:rFonts w:hint="eastAsia" w:ascii="宋体" w:hAnsi="宋体" w:eastAsia="宋体" w:cs="宋体"/>
                <w:color w:val="auto"/>
                <w:sz w:val="22"/>
                <w:szCs w:val="22"/>
                <w:highlight w:val="none"/>
              </w:rPr>
              <w:t xml:space="preserve">合理</w:t>
            </w:r>
            <w:r>
              <w:rPr>
                <w:rFonts w:hint="eastAsia" w:ascii="宋体" w:hAnsi="宋体" w:eastAsia="宋体" w:cs="宋体"/>
                <w:color w:val="auto"/>
                <w:sz w:val="22"/>
                <w:szCs w:val="22"/>
                <w:highlight w:val="none"/>
                <w:lang w:eastAsia="zh-CN"/>
              </w:rPr>
              <w:t xml:space="preserve">较强</w:t>
            </w:r>
            <w:r>
              <w:rPr>
                <w:rFonts w:hint="eastAsia" w:ascii="宋体" w:hAnsi="宋体" w:eastAsia="宋体" w:cs="宋体"/>
                <w:color w:val="auto"/>
                <w:sz w:val="22"/>
                <w:szCs w:val="22"/>
                <w:highlight w:val="none"/>
              </w:rPr>
              <w:t xml:space="preserve">、可行</w:t>
            </w:r>
            <w:r>
              <w:rPr>
                <w:rFonts w:hint="eastAsia" w:ascii="宋体" w:hAnsi="宋体" w:cs="宋体"/>
                <w:color w:val="auto"/>
                <w:sz w:val="22"/>
                <w:szCs w:val="22"/>
                <w:highlight w:val="none"/>
                <w:lang w:eastAsia="zh-CN"/>
              </w:rPr>
              <w:t xml:space="preserve">性较强</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（3）内容完整</w:t>
            </w:r>
            <w:r>
              <w:rPr>
                <w:rFonts w:hint="eastAsia" w:ascii="宋体" w:hAnsi="宋体" w:eastAsia="宋体" w:cs="宋体"/>
                <w:color w:val="auto"/>
                <w:sz w:val="22"/>
                <w:szCs w:val="22"/>
                <w:highlight w:val="none"/>
                <w:lang w:eastAsia="zh-CN"/>
              </w:rPr>
              <w:t xml:space="preserve">性一般</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eastAsia="zh-CN"/>
              </w:rPr>
              <w:t xml:space="preserve">科学</w:t>
            </w:r>
            <w:r>
              <w:rPr>
                <w:rFonts w:hint="eastAsia" w:ascii="宋体" w:hAnsi="宋体" w:eastAsia="宋体" w:cs="宋体"/>
                <w:color w:val="auto"/>
                <w:sz w:val="22"/>
                <w:szCs w:val="22"/>
                <w:highlight w:val="none"/>
              </w:rPr>
              <w:t xml:space="preserve">合理</w:t>
            </w:r>
            <w:r>
              <w:rPr>
                <w:rFonts w:hint="eastAsia" w:ascii="宋体" w:hAnsi="宋体" w:eastAsia="宋体" w:cs="宋体"/>
                <w:color w:val="auto"/>
                <w:sz w:val="22"/>
                <w:szCs w:val="22"/>
                <w:highlight w:val="none"/>
                <w:lang w:eastAsia="zh-CN"/>
              </w:rPr>
              <w:t xml:space="preserve">性一般</w:t>
            </w:r>
            <w:r>
              <w:rPr>
                <w:rFonts w:hint="eastAsia" w:ascii="宋体" w:hAnsi="宋体" w:eastAsia="宋体" w:cs="宋体"/>
                <w:color w:val="auto"/>
                <w:sz w:val="22"/>
                <w:szCs w:val="22"/>
                <w:highlight w:val="none"/>
              </w:rPr>
              <w:t xml:space="preserve">、可行</w:t>
            </w:r>
            <w:r>
              <w:rPr>
                <w:rFonts w:hint="eastAsia" w:ascii="宋体" w:hAnsi="宋体" w:cs="宋体"/>
                <w:color w:val="auto"/>
                <w:sz w:val="22"/>
                <w:szCs w:val="22"/>
                <w:highlight w:val="none"/>
                <w:lang w:eastAsia="zh-CN"/>
              </w:rPr>
              <w:t xml:space="preserve">性一般</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内容完整</w:t>
            </w:r>
            <w:r>
              <w:rPr>
                <w:rFonts w:hint="eastAsia" w:ascii="宋体" w:hAnsi="宋体" w:eastAsia="宋体" w:cs="宋体"/>
                <w:color w:val="auto"/>
                <w:sz w:val="22"/>
                <w:szCs w:val="22"/>
                <w:highlight w:val="none"/>
                <w:lang w:eastAsia="zh-CN"/>
              </w:rPr>
              <w:t xml:space="preserve">性较差</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eastAsia="zh-CN"/>
              </w:rPr>
              <w:t xml:space="preserve">科学</w:t>
            </w:r>
            <w:r>
              <w:rPr>
                <w:rFonts w:hint="eastAsia" w:ascii="宋体" w:hAnsi="宋体" w:eastAsia="宋体" w:cs="宋体"/>
                <w:color w:val="auto"/>
                <w:sz w:val="22"/>
                <w:szCs w:val="22"/>
                <w:highlight w:val="none"/>
              </w:rPr>
              <w:t xml:space="preserve">合理</w:t>
            </w:r>
            <w:r>
              <w:rPr>
                <w:rFonts w:hint="eastAsia" w:ascii="宋体" w:hAnsi="宋体" w:eastAsia="宋体" w:cs="宋体"/>
                <w:color w:val="auto"/>
                <w:sz w:val="22"/>
                <w:szCs w:val="22"/>
                <w:highlight w:val="none"/>
                <w:lang w:eastAsia="zh-CN"/>
              </w:rPr>
              <w:t xml:space="preserve">性较差</w:t>
            </w:r>
            <w:r>
              <w:rPr>
                <w:rFonts w:hint="eastAsia" w:ascii="宋体" w:hAnsi="宋体" w:eastAsia="宋体" w:cs="宋体"/>
                <w:color w:val="auto"/>
                <w:sz w:val="22"/>
                <w:szCs w:val="22"/>
                <w:highlight w:val="none"/>
              </w:rPr>
              <w:t xml:space="preserve">、可行</w:t>
            </w:r>
            <w:r>
              <w:rPr>
                <w:rFonts w:hint="eastAsia" w:ascii="宋体" w:hAnsi="宋体" w:cs="宋体"/>
                <w:color w:val="auto"/>
                <w:sz w:val="22"/>
                <w:szCs w:val="22"/>
                <w:highlight w:val="none"/>
                <w:lang w:eastAsia="zh-CN"/>
              </w:rPr>
              <w:t xml:space="preserve">性较差</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numPr>
                <w:ilvl w:val="0"/>
                <w:numId w:val="0"/>
              </w:numPr>
              <w:spacing w:line="360" w:lineRule="auto"/>
              <w:rPr>
                <w:rFonts w:hint="eastAsia"/>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）内容完整性差、科学合理性差、可行性差，得1分；</w:t>
            </w:r>
            <w:r/>
          </w:p>
          <w:p>
            <w:pPr>
              <w:keepLines w:val="0"/>
              <w:keepNext w:val="0"/>
              <w:pageBreakBefore w:val="0"/>
              <w:spacing w:line="288" w:lineRule="auto"/>
              <w:widowControl w:val="off"/>
              <w:rPr>
                <w:rFonts w:hint="default"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未提供的不得分，本项最高得</w:t>
            </w: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分，最低得0分。</w:t>
            </w:r>
            <w:r/>
          </w:p>
        </w:tc>
      </w:tr>
      <w:tr>
        <w:trPr/>
        <w:tc>
          <w:tcPr>
            <w:tcW w:w="631" w:type="pct"/>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674"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免费质保期</w:t>
            </w:r>
            <w:r/>
          </w:p>
        </w:tc>
        <w:tc>
          <w:tcPr>
            <w:shd w:val="clear" w:color="auto" w:fill="auto"/>
            <w:tcW w:w="501"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4分</w:t>
            </w:r>
            <w:r/>
          </w:p>
        </w:tc>
        <w:tc>
          <w:tcPr>
            <w:shd w:val="clear" w:color="auto" w:fill="auto"/>
            <w:tcW w:w="3192"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质保期不满足采购</w:t>
            </w:r>
            <w:r>
              <w:rPr>
                <w:rFonts w:hint="eastAsia" w:ascii="宋体" w:hAnsi="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eastAsia="zh-CN"/>
              </w:rPr>
              <w:t xml:space="preserve">的作无效投标处理。本项目最低质保期为</w:t>
            </w:r>
            <w:r>
              <w:rPr>
                <w:rFonts w:hint="eastAsia" w:ascii="宋体" w:hAnsi="宋体" w:cs="宋体"/>
                <w:color w:val="auto"/>
                <w:sz w:val="22"/>
                <w:szCs w:val="22"/>
                <w:highlight w:val="none"/>
                <w:lang w:val="en-US" w:eastAsia="zh-CN"/>
              </w:rPr>
              <w:t xml:space="preserve">二</w:t>
            </w:r>
            <w:r>
              <w:rPr>
                <w:rFonts w:hint="eastAsia" w:ascii="宋体" w:hAnsi="宋体" w:eastAsia="宋体" w:cs="宋体"/>
                <w:color w:val="auto"/>
                <w:sz w:val="22"/>
                <w:szCs w:val="22"/>
                <w:highlight w:val="none"/>
                <w:lang w:val="en-US" w:eastAsia="zh-CN"/>
              </w:rPr>
              <w:t xml:space="preserve">年，在此基础上每增加一年，加2分。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本项最高得4分，最低得0分。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注：需提供质保期限承诺书（自拟），未提供或描述不清楚难以理解的或字迹模糊不清的不得分。</w:t>
            </w:r>
            <w:r/>
          </w:p>
        </w:tc>
      </w:tr>
      <w:tr>
        <w:trPr/>
        <w:tc>
          <w:tcPr>
            <w:gridSpan w:val="2"/>
            <w:tcW w:w="1306"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所报产品为“环境标志产品”</w:t>
            </w:r>
            <w:r/>
          </w:p>
        </w:tc>
        <w:tc>
          <w:tcPr>
            <w:shd w:val="clear" w:color="auto" w:fill="auto"/>
            <w:tcW w:w="501"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1分</w:t>
            </w:r>
            <w:r/>
          </w:p>
        </w:tc>
        <w:tc>
          <w:tcPr>
            <w:shd w:val="clear" w:color="auto" w:fill="auto"/>
            <w:tcW w:w="3192" w:type="pct"/>
            <w:vAlign w:val="center"/>
            <w:textDirection w:val="lrTb"/>
            <w:noWrap w:val="false"/>
          </w:tcPr>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tc>
          <w:tcPr>
            <w:gridSpan w:val="2"/>
            <w:tcW w:w="1306"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所报产品为“节能产品”</w:t>
            </w:r>
            <w:r/>
          </w:p>
        </w:tc>
        <w:tc>
          <w:tcPr>
            <w:shd w:val="clear" w:color="auto" w:fill="auto"/>
            <w:tcW w:w="501" w:type="pct"/>
            <w:vAlign w:val="center"/>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1分</w:t>
            </w:r>
            <w:r/>
          </w:p>
        </w:tc>
        <w:tc>
          <w:tcPr>
            <w:shd w:val="clear" w:color="auto" w:fill="auto"/>
            <w:tcW w:w="3192" w:type="pct"/>
            <w:vAlign w:val="center"/>
            <w:textDirection w:val="lrTb"/>
            <w:noWrap w:val="false"/>
          </w:tcPr>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pStyle w:val="769"/>
        <w:jc w:val="both"/>
        <w:rPr>
          <w:rFonts w:hint="eastAsia"/>
          <w:b/>
          <w:bCs/>
          <w:sz w:val="32"/>
          <w:szCs w:val="32"/>
          <w:highlight w:val="none"/>
        </w:rPr>
      </w:pPr>
      <w:r>
        <w:rPr>
          <w:rFonts w:hint="eastAsia"/>
          <w:b/>
          <w:bCs/>
          <w:sz w:val="32"/>
          <w:szCs w:val="32"/>
          <w:highlight w:val="none"/>
        </w:rPr>
      </w:r>
      <w:r/>
    </w:p>
    <w:p>
      <w:pPr>
        <w:pStyle w:val="773"/>
        <w:ind w:left="0" w:firstLine="0"/>
        <w:rPr>
          <w:rFonts w:hint="eastAsia"/>
          <w:highlight w:val="none"/>
        </w:rPr>
      </w:pPr>
      <w:r>
        <w:rPr>
          <w:rFonts w:hint="eastAsia"/>
          <w:highlight w:val="none"/>
        </w:rPr>
      </w:r>
      <w:r/>
    </w:p>
    <w:p>
      <w:pPr>
        <w:pStyle w:val="1037"/>
        <w:keepLines w:val="0"/>
        <w:keepNext w:val="0"/>
        <w:pageBreakBefore w:val="0"/>
        <w:spacing w:after="0"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本章说明：本项目采用综合评分法（</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highlight w:val="none"/>
          <w14:textFill>
            <w14:solidFill>
              <w14:schemeClr w14:val="tx1"/>
            </w14:solidFill>
          </w14:textFill>
        </w:rPr>
        <w:t xml:space="preserve">技术部分得分取所有评委的平均值，保留小数点后二位）</w:t>
      </w:r>
      <w:r/>
    </w:p>
    <w:p>
      <w:pPr>
        <w:pStyle w:val="1037"/>
        <w:keepLines w:val="0"/>
        <w:keepNext w:val="0"/>
        <w:pageBreakBefore w:val="0"/>
        <w:spacing w:after="0"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注：1、投标文件中须提供评分标准中涉及的证书证明等资料，须按照招标文件的要求</w:t>
      </w:r>
      <w:r>
        <w:rPr>
          <w:rFonts w:hint="eastAsia" w:ascii="宋体" w:hAnsi="宋体" w:eastAsia="宋体" w:cs="宋体"/>
          <w:b/>
          <w:bCs/>
          <w:color w:val="000000" w:themeColor="text1"/>
          <w:sz w:val="24"/>
          <w:highlight w:val="none"/>
          <w14:textFill>
            <w14:solidFill>
              <w14:schemeClr w14:val="tx1"/>
            </w14:solidFill>
          </w14:textFill>
        </w:rPr>
        <w:t xml:space="preserve">提供</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扫描</w:t>
      </w:r>
      <w:r>
        <w:rPr>
          <w:rFonts w:hint="eastAsia" w:ascii="宋体" w:hAnsi="宋体" w:eastAsia="宋体" w:cs="宋体"/>
          <w:b/>
          <w:bCs/>
          <w:color w:val="000000" w:themeColor="text1"/>
          <w:sz w:val="24"/>
          <w:highlight w:val="none"/>
          <w14:textFill>
            <w14:solidFill>
              <w14:schemeClr w14:val="tx1"/>
            </w14:solidFill>
          </w14:textFill>
        </w:rPr>
        <w:t xml:space="preserve">件至投标文件中，</w:t>
      </w:r>
      <w:r>
        <w:rPr>
          <w:rFonts w:hint="eastAsia" w:ascii="宋体" w:hAnsi="宋体" w:eastAsia="宋体" w:cs="宋体"/>
          <w:color w:val="000000" w:themeColor="text1"/>
          <w:sz w:val="24"/>
          <w:highlight w:val="none"/>
          <w14:textFill>
            <w14:solidFill>
              <w14:schemeClr w14:val="tx1"/>
            </w14:solidFill>
          </w14:textFill>
        </w:rPr>
        <w:t xml:space="preserve">未提供或提供不全或模糊不清等导致评审委员会无法判定的，不得分。</w:t>
      </w:r>
      <w:r/>
    </w:p>
    <w:p>
      <w:pPr>
        <w:pStyle w:val="1037"/>
        <w:keepLines w:val="0"/>
        <w:keepNext w:val="0"/>
        <w:pageBreakBefore w:val="0"/>
        <w:spacing w:after="0"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按照综合评分法推荐</w:t>
      </w:r>
      <w:r>
        <w:rPr>
          <w:rFonts w:hint="eastAsia" w:ascii="宋体" w:hAnsi="宋体" w:eastAsia="宋体" w:cs="宋体"/>
          <w:color w:val="000000" w:themeColor="text1"/>
          <w:sz w:val="24"/>
          <w:highlight w:val="none"/>
          <w:lang w:eastAsia="zh-CN"/>
          <w14:textFill>
            <w14:solidFill>
              <w14:schemeClr w14:val="tx1"/>
            </w14:solidFill>
          </w14:textFill>
        </w:rPr>
        <w:t xml:space="preserve">中标</w:t>
      </w:r>
      <w:r>
        <w:rPr>
          <w:rFonts w:hint="eastAsia" w:ascii="宋体" w:hAnsi="宋体" w:eastAsia="宋体" w:cs="宋体"/>
          <w:color w:val="000000" w:themeColor="text1"/>
          <w:sz w:val="24"/>
          <w:highlight w:val="none"/>
          <w14:textFill>
            <w14:solidFill>
              <w14:schemeClr w14:val="tx1"/>
            </w14:solidFill>
          </w14:textFill>
        </w:rPr>
        <w:t xml:space="preserve">候选名单。评标中不得改变已规定的评标标准、方法和中标条件。</w:t>
      </w:r>
      <w:r/>
    </w:p>
    <w:p>
      <w:pPr>
        <w:pStyle w:val="772"/>
        <w:jc w:val="center"/>
        <w:pageBreakBefore/>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第五章  拟签订的合同文本</w:t>
      </w:r>
      <w:r/>
    </w:p>
    <w:p>
      <w:pPr>
        <w:pStyle w:val="771"/>
        <w:ind w:left="0" w:right="0" w:firstLine="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firstLine="0"/>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项目名称：</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残疾儿童康复训练功能室建设及康复设施设备采购项目</w:t>
      </w:r>
      <w:r/>
    </w:p>
    <w:p>
      <w:pPr>
        <w:pStyle w:val="771"/>
        <w:ind w:left="0" w:right="0" w:firstLine="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56"/>
          <w:szCs w:val="22"/>
          <w:highlight w:val="none"/>
          <w14:textFill>
            <w14:solidFill>
              <w14:schemeClr w14:val="tx1"/>
            </w14:solidFill>
          </w14:textFill>
        </w:rPr>
        <w:t xml:space="preserve">政</w:t>
      </w:r>
      <w:r/>
    </w:p>
    <w:p>
      <w:pPr>
        <w:pStyle w:val="772"/>
        <w:jc w:val="center"/>
        <w:spacing w:line="360" w:lineRule="auto"/>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56"/>
          <w:szCs w:val="22"/>
          <w:highlight w:val="none"/>
          <w14:textFill>
            <w14:solidFill>
              <w14:schemeClr w14:val="tx1"/>
            </w14:solidFill>
          </w14:textFill>
        </w:rPr>
        <w:t xml:space="preserve">府</w:t>
      </w:r>
      <w:r/>
    </w:p>
    <w:p>
      <w:pPr>
        <w:pStyle w:val="772"/>
        <w:jc w:val="center"/>
        <w:spacing w:line="360" w:lineRule="auto"/>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56"/>
          <w:szCs w:val="22"/>
          <w:highlight w:val="none"/>
          <w14:textFill>
            <w14:solidFill>
              <w14:schemeClr w14:val="tx1"/>
            </w14:solidFill>
          </w14:textFill>
        </w:rPr>
        <w:t xml:space="preserve">采</w:t>
      </w:r>
      <w:r/>
    </w:p>
    <w:p>
      <w:pPr>
        <w:pStyle w:val="772"/>
        <w:jc w:val="center"/>
        <w:spacing w:line="360" w:lineRule="auto"/>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56"/>
          <w:szCs w:val="22"/>
          <w:highlight w:val="none"/>
          <w14:textFill>
            <w14:solidFill>
              <w14:schemeClr w14:val="tx1"/>
            </w14:solidFill>
          </w14:textFill>
        </w:rPr>
        <w:t xml:space="preserve">购</w:t>
      </w:r>
      <w:r/>
    </w:p>
    <w:p>
      <w:pPr>
        <w:pStyle w:val="772"/>
        <w:jc w:val="center"/>
        <w:spacing w:line="360" w:lineRule="auto"/>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56"/>
          <w:szCs w:val="22"/>
          <w:highlight w:val="none"/>
          <w14:textFill>
            <w14:solidFill>
              <w14:schemeClr w14:val="tx1"/>
            </w14:solidFill>
          </w14:textFill>
        </w:rPr>
        <w:t xml:space="preserve">合</w:t>
      </w:r>
      <w:r/>
    </w:p>
    <w:p>
      <w:pPr>
        <w:pStyle w:val="772"/>
        <w:jc w:val="center"/>
        <w:spacing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56"/>
          <w:szCs w:val="22"/>
          <w:highlight w:val="none"/>
          <w14:textFill>
            <w14:solidFill>
              <w14:schemeClr w14:val="tx1"/>
            </w14:solidFill>
          </w14:textFill>
        </w:rPr>
        <w:t xml:space="preserve">同</w:t>
      </w:r>
      <w:r/>
    </w:p>
    <w:p>
      <w:pPr>
        <w:pStyle w:val="772"/>
        <w:ind w:firstLine="480"/>
        <w:spacing w:line="360" w:lineRule="auto"/>
        <w:rPr>
          <w:rFonts w:hint="eastAsia" w:ascii="宋体" w:hAnsi="宋体" w:eastAsia="宋体" w:cs="宋体"/>
          <w:bCs/>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2"/>
          <w:highlight w:val="none"/>
          <w14:textFill>
            <w14:solidFill>
              <w14:schemeClr w14:val="tx1"/>
            </w14:solidFill>
          </w14:textFill>
        </w:rPr>
        <w:t xml:space="preserve">采购人（甲方）：</w:t>
      </w:r>
      <w:r/>
    </w:p>
    <w:p>
      <w:pPr>
        <w:pStyle w:val="772"/>
        <w:ind w:firstLine="480"/>
        <w:spacing w:line="360" w:lineRule="auto"/>
        <w:rPr>
          <w:rFonts w:hint="eastAsia" w:ascii="宋体" w:hAnsi="宋体" w:eastAsia="宋体" w:cs="宋体"/>
          <w:bCs/>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2"/>
          <w:highlight w:val="none"/>
          <w14:textFill>
            <w14:solidFill>
              <w14:schemeClr w14:val="tx1"/>
            </w14:solidFill>
          </w14:textFill>
        </w:rPr>
        <w:t xml:space="preserve">中标人（乙方）：</w:t>
      </w:r>
      <w:r/>
    </w:p>
    <w:p>
      <w:pPr>
        <w:pStyle w:val="772"/>
        <w:ind w:firstLine="480"/>
        <w:spacing w:line="360" w:lineRule="auto"/>
        <w:rPr>
          <w:rFonts w:hint="eastAsia" w:ascii="宋体" w:hAnsi="宋体" w:eastAsia="宋体" w:cs="宋体"/>
          <w:bCs/>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2"/>
          <w:highlight w:val="none"/>
          <w14:textFill>
            <w14:solidFill>
              <w14:schemeClr w14:val="tx1"/>
            </w14:solidFill>
          </w14:textFill>
        </w:rPr>
        <w:t xml:space="preserve">合同签订日期：  年  月  日</w:t>
      </w:r>
      <w:r/>
    </w:p>
    <w:p>
      <w:pPr>
        <w:pStyle w:val="772"/>
        <w:spacing w:line="360" w:lineRule="auto"/>
        <w:rPr>
          <w:rFonts w:hint="eastAsia" w:ascii="宋体" w:hAnsi="宋体" w:eastAsia="宋体" w:cs="宋体"/>
          <w:bCs/>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2"/>
          <w:highlight w:val="none"/>
          <w14:textFill>
            <w14:solidFill>
              <w14:schemeClr w14:val="tx1"/>
            </w14:solidFill>
          </w14:textFill>
        </w:rPr>
      </w:r>
      <w:r/>
    </w:p>
    <w:p>
      <w:pPr>
        <w:pStyle w:val="772"/>
        <w:ind w:firstLine="240"/>
        <w:spacing w:line="360" w:lineRule="auto"/>
        <w:rPr>
          <w:rFonts w:hint="eastAsia" w:ascii="宋体" w:hAnsi="宋体" w:eastAsia="宋体" w:cs="宋体"/>
          <w:bCs/>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2"/>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
          <w:color w:val="000000" w:themeColor="text1"/>
          <w:sz w:val="24"/>
          <w:szCs w:val="22"/>
          <w:highlight w:val="none"/>
          <w14:textFill>
            <w14:solidFill>
              <w14:schemeClr w14:val="tx1"/>
            </w14:solidFill>
          </w14:textFill>
        </w:rPr>
        <w:t xml:space="preserve">三十日</w:t>
      </w:r>
      <w:r>
        <w:rPr>
          <w:rFonts w:hint="eastAsia" w:ascii="宋体" w:hAnsi="宋体" w:eastAsia="宋体" w:cs="宋体"/>
          <w:bCs/>
          <w:color w:val="000000" w:themeColor="text1"/>
          <w:sz w:val="24"/>
          <w:szCs w:val="22"/>
          <w:highlight w:val="none"/>
          <w14:textFill>
            <w14:solidFill>
              <w14:schemeClr w14:val="tx1"/>
            </w14:solidFill>
          </w14:textFill>
        </w:rPr>
        <w:t xml:space="preserve">内，按照采购文件确定的事项签订政府采购合同。</w:t>
      </w:r>
      <w:r/>
    </w:p>
    <w:p>
      <w:pPr>
        <w:pStyle w:val="772"/>
        <w:ind w:firstLine="240"/>
        <w:spacing w:line="360" w:lineRule="auto"/>
        <w:rPr>
          <w:rFonts w:hint="eastAsia" w:ascii="宋体" w:hAnsi="宋体" w:eastAsia="宋体" w:cs="宋体"/>
          <w:bCs/>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2"/>
          <w:highlight w:val="none"/>
          <w14:textFill>
            <w14:solidFill>
              <w14:schemeClr w14:val="tx1"/>
            </w14:solidFill>
          </w14:textFill>
        </w:rPr>
        <w:t xml:space="preserve">采购人应当自政府采购合同签订之日起</w:t>
      </w:r>
      <w:r>
        <w:rPr>
          <w:rFonts w:hint="eastAsia" w:ascii="宋体" w:hAnsi="宋体" w:eastAsia="宋体" w:cs="宋体"/>
          <w:b/>
          <w:color w:val="000000" w:themeColor="text1"/>
          <w:sz w:val="24"/>
          <w:szCs w:val="22"/>
          <w:highlight w:val="none"/>
          <w14:textFill>
            <w14:solidFill>
              <w14:schemeClr w14:val="tx1"/>
            </w14:solidFill>
          </w14:textFill>
        </w:rPr>
        <w:t xml:space="preserve">2个工作日</w:t>
      </w:r>
      <w:r>
        <w:rPr>
          <w:rFonts w:hint="eastAsia" w:ascii="宋体" w:hAnsi="宋体" w:eastAsia="宋体" w:cs="宋体"/>
          <w:bCs/>
          <w:color w:val="000000" w:themeColor="text1"/>
          <w:sz w:val="24"/>
          <w:szCs w:val="22"/>
          <w:highlight w:val="none"/>
          <w14:textFill>
            <w14:solidFill>
              <w14:schemeClr w14:val="tx1"/>
            </w14:solidFill>
          </w14:textFill>
        </w:rPr>
        <w:t xml:space="preserve">内，将政府采购合同在省级以上人民政府财政部门指定的媒体上公告，但政府采购合同中涉及国家秘密、商业秘密的内容除外。</w:t>
      </w:r>
      <w:r/>
    </w:p>
    <w:p>
      <w:pPr>
        <w:pStyle w:val="772"/>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合同通用条款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合同通用条款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1.12“合同生效日”见《合同协议书》（合同附件1）第5 条。</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包装与标记</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9.3买方派出1-3名技术人员参加项目实施，卖方应积极配合甲方派出的1-3名技术人员监督管理。</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“买方”为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“卖方”为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“工作现场”为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 “合同货币”即</w:t>
      </w:r>
      <w:r>
        <w:rPr>
          <w:rFonts w:hint="eastAsia" w:ascii="宋体" w:hAnsi="宋体" w:eastAsia="宋体" w:cs="宋体"/>
          <w:color w:val="000000" w:themeColor="text1"/>
          <w:sz w:val="24"/>
          <w:highlight w:val="none"/>
          <w:u w:val="single"/>
          <w14:textFill>
            <w14:solidFill>
              <w14:schemeClr w14:val="tx1"/>
            </w14:solidFill>
          </w14:textFill>
        </w:rPr>
        <w:t xml:space="preserve">人民币</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2.1买方同意从卖方购买、卖方同意向买方出售的合同标的是</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。详见合同附件。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3.1合同总价为￥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numPr>
          <w:ilvl w:val="0"/>
          <w:numId w:val="6"/>
        </w:num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支付</w:t>
      </w:r>
      <w:r/>
    </w:p>
    <w:p>
      <w:pPr>
        <w:pStyle w:val="772"/>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本合同总金额为人民币大写金额</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元（小写金额：</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元），经双方协商一致，选择以下第</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种付款方式：</w:t>
      </w:r>
      <w:r/>
    </w:p>
    <w:p>
      <w:pPr>
        <w:pStyle w:val="772"/>
        <w:ind w:firstLine="484"/>
        <w:keepLines w:val="0"/>
        <w:keepNext w:val="0"/>
        <w:pageBreakBefore w:val="0"/>
        <w:spacing w:line="360" w:lineRule="auto"/>
        <w:widowControl w:val="off"/>
        <w:rPr>
          <w:rStyle w:val="767"/>
          <w:rFonts w:hint="eastAsia" w:ascii="宋体" w:hAnsi="宋体" w:eastAsia="宋体" w:cs="宋体"/>
          <w:color w:val="000000" w:themeColor="text1"/>
          <w:sz w:val="24"/>
          <w:szCs w:val="24"/>
          <w:highlight w:val="none"/>
          <w14:textFill>
            <w14:solidFill>
              <w14:schemeClr w14:val="tx1"/>
            </w14:solidFill>
          </w14:textFill>
        </w:rPr>
      </w:pPr>
      <w:r>
        <w:rPr>
          <w:rStyle w:val="767"/>
          <w:rFonts w:hint="eastAsia" w:ascii="宋体" w:hAnsi="宋体" w:eastAsia="宋体" w:cs="宋体"/>
          <w:color w:val="000000" w:themeColor="text1"/>
          <w:sz w:val="24"/>
          <w:szCs w:val="24"/>
          <w:highlight w:val="none"/>
          <w14:textFill>
            <w14:solidFill>
              <w14:schemeClr w14:val="tx1"/>
            </w14:solidFill>
          </w14:textFill>
        </w:rPr>
        <w:t xml:space="preserve">付款方式一：提交预付款保函的</w:t>
      </w:r>
      <w:r/>
    </w:p>
    <w:p>
      <w:pPr>
        <w:pStyle w:val="900"/>
        <w:ind w:firstLine="484"/>
        <w:keepLines w:val="0"/>
        <w:keepNext w:val="0"/>
        <w:pageBreakBefore w:val="0"/>
        <w:spacing w:line="360" w:lineRule="auto"/>
        <w:widowControl w:val="off"/>
        <w:rPr>
          <w:rStyle w:val="767"/>
          <w:rFonts w:hint="eastAsia" w:ascii="宋体" w:hAnsi="宋体" w:eastAsia="宋体" w:cs="宋体"/>
          <w:color w:val="000000" w:themeColor="text1"/>
          <w:sz w:val="24"/>
          <w:szCs w:val="24"/>
          <w:highlight w:val="none"/>
          <w14:textFill>
            <w14:solidFill>
              <w14:schemeClr w14:val="tx1"/>
            </w14:solidFill>
          </w14:textFill>
        </w:rPr>
      </w:pPr>
      <w:r>
        <w:rPr>
          <w:rStyle w:val="767"/>
          <w:rFonts w:hint="eastAsia" w:ascii="宋体" w:hAnsi="宋体" w:eastAsia="宋体" w:cs="宋体"/>
          <w:color w:val="000000" w:themeColor="text1"/>
          <w:sz w:val="24"/>
          <w:szCs w:val="24"/>
          <w:highlight w:val="none"/>
          <w14:textFill>
            <w14:solidFill>
              <w14:schemeClr w14:val="tx1"/>
            </w14:solidFill>
          </w14:textFill>
        </w:rPr>
        <w:t xml:space="preserve">合同价款的百分之五十(50%)即￥          ，大写：人民币         元整，在双方签订合同，乙方向甲方出具等额预付款保函后，买方自收到发票（发票金额为合同总价的50%）后15日内，办理政府采购资金结算手续支付给乙方。</w:t>
      </w:r>
      <w:r/>
    </w:p>
    <w:p>
      <w:pPr>
        <w:pStyle w:val="772"/>
        <w:ind w:firstLine="480"/>
        <w:keepLines w:val="0"/>
        <w:keepNext w:val="0"/>
        <w:pageBreakBefore w:val="0"/>
        <w:spacing w:line="360" w:lineRule="auto"/>
        <w:widowControl w:val="off"/>
        <w:rPr>
          <w:rStyle w:val="767"/>
          <w:rFonts w:hint="eastAsia" w:ascii="宋体" w:hAnsi="宋体" w:eastAsia="宋体" w:cs="宋体"/>
          <w:color w:val="000000" w:themeColor="text1"/>
          <w:sz w:val="24"/>
          <w:szCs w:val="24"/>
          <w:highlight w:val="none"/>
          <w14:textFill>
            <w14:solidFill>
              <w14:schemeClr w14:val="tx1"/>
            </w14:solidFill>
          </w14:textFill>
        </w:rPr>
      </w:pPr>
      <w:r>
        <w:rPr>
          <w:rStyle w:val="767"/>
          <w:rFonts w:hint="eastAsia" w:ascii="宋体" w:hAnsi="宋体" w:eastAsia="宋体" w:cs="宋体"/>
          <w:color w:val="000000" w:themeColor="text1"/>
          <w:sz w:val="24"/>
          <w:szCs w:val="24"/>
          <w:highlight w:val="none"/>
          <w14:textFill>
            <w14:solidFill>
              <w14:schemeClr w14:val="tx1"/>
            </w14:solidFill>
          </w14:textFill>
        </w:rPr>
        <w:t xml:space="preserve">合同总价的百分之五十 (50%)即￥           ，大写：人民币                 ，合同标的全部交付并安装完毕验收后，买方自收到发票（发票金额为合同总价的50%）后15日内，由买方办理政府采购资金结算手续，经审核后支付给卖方。</w:t>
      </w:r>
      <w:r/>
    </w:p>
    <w:p>
      <w:pPr>
        <w:pStyle w:val="772"/>
        <w:ind w:firstLine="480"/>
        <w:keepLines w:val="0"/>
        <w:keepNext w:val="0"/>
        <w:pageBreakBefore w:val="0"/>
        <w:spacing w:line="360" w:lineRule="auto"/>
        <w:widowControl w:val="off"/>
        <w:rPr>
          <w:rStyle w:val="767"/>
          <w:rFonts w:hint="eastAsia" w:ascii="宋体" w:hAnsi="宋体" w:eastAsia="宋体" w:cs="宋体"/>
          <w:color w:val="000000" w:themeColor="text1"/>
          <w:sz w:val="24"/>
          <w:szCs w:val="24"/>
          <w:highlight w:val="none"/>
          <w14:textFill>
            <w14:solidFill>
              <w14:schemeClr w14:val="tx1"/>
            </w14:solidFill>
          </w14:textFill>
        </w:rPr>
      </w:pPr>
      <w:r>
        <w:rPr>
          <w:rStyle w:val="767"/>
          <w:rFonts w:hint="eastAsia" w:ascii="宋体" w:hAnsi="宋体" w:eastAsia="宋体" w:cs="宋体"/>
          <w:color w:val="000000" w:themeColor="text1"/>
          <w:sz w:val="24"/>
          <w:szCs w:val="24"/>
          <w:highlight w:val="none"/>
          <w14:textFill>
            <w14:solidFill>
              <w14:schemeClr w14:val="tx1"/>
            </w14:solidFill>
          </w14:textFill>
        </w:rPr>
        <w:t xml:space="preserve">卖方需提交的支付文件包括：</w:t>
      </w:r>
      <w:r/>
    </w:p>
    <w:p>
      <w:pPr>
        <w:pStyle w:val="772"/>
        <w:ind w:firstLine="480"/>
        <w:keepLines w:val="0"/>
        <w:keepNext w:val="0"/>
        <w:pageBreakBefore w:val="0"/>
        <w:spacing w:line="360" w:lineRule="auto"/>
        <w:widowControl w:val="off"/>
        <w:rPr>
          <w:rStyle w:val="767"/>
          <w:rFonts w:hint="eastAsia" w:ascii="宋体" w:hAnsi="宋体" w:eastAsia="宋体" w:cs="宋体"/>
          <w:color w:val="000000" w:themeColor="text1"/>
          <w:sz w:val="24"/>
          <w:szCs w:val="24"/>
          <w:highlight w:val="none"/>
          <w14:textFill>
            <w14:solidFill>
              <w14:schemeClr w14:val="tx1"/>
            </w14:solidFill>
          </w14:textFill>
        </w:rPr>
      </w:pPr>
      <w:r>
        <w:rPr>
          <w:rStyle w:val="767"/>
          <w:rFonts w:hint="eastAsia" w:ascii="宋体" w:hAnsi="宋体" w:eastAsia="宋体" w:cs="宋体"/>
          <w:color w:val="000000" w:themeColor="text1"/>
          <w:sz w:val="24"/>
          <w:szCs w:val="24"/>
          <w:highlight w:val="none"/>
          <w14:textFill>
            <w14:solidFill>
              <w14:schemeClr w14:val="tx1"/>
            </w14:solidFill>
          </w14:textFill>
        </w:rPr>
        <w:t xml:space="preserve">卖方出具的全额正式发票；</w:t>
      </w:r>
      <w:r/>
    </w:p>
    <w:p>
      <w:pPr>
        <w:pStyle w:val="772"/>
        <w:ind w:firstLine="484"/>
        <w:keepLines w:val="0"/>
        <w:keepNext w:val="0"/>
        <w:pageBreakBefore w:val="0"/>
        <w:spacing w:line="360" w:lineRule="auto"/>
        <w:widowControl w:val="off"/>
        <w:rPr>
          <w:rStyle w:val="767"/>
          <w:rFonts w:hint="eastAsia" w:ascii="宋体" w:hAnsi="宋体" w:eastAsia="宋体" w:cs="宋体"/>
          <w:color w:val="000000" w:themeColor="text1"/>
          <w:sz w:val="24"/>
          <w:szCs w:val="24"/>
          <w:highlight w:val="none"/>
          <w14:textFill>
            <w14:solidFill>
              <w14:schemeClr w14:val="tx1"/>
            </w14:solidFill>
          </w14:textFill>
        </w:rPr>
      </w:pPr>
      <w:r>
        <w:rPr>
          <w:rStyle w:val="767"/>
          <w:rFonts w:hint="eastAsia" w:ascii="宋体" w:hAnsi="宋体" w:eastAsia="宋体" w:cs="宋体"/>
          <w:color w:val="000000" w:themeColor="text1"/>
          <w:sz w:val="24"/>
          <w:szCs w:val="24"/>
          <w:highlight w:val="none"/>
          <w14:textFill>
            <w14:solidFill>
              <w14:schemeClr w14:val="tx1"/>
            </w14:solidFill>
          </w14:textFill>
        </w:rPr>
        <w:t xml:space="preserve">付款方式二：不提交预付款保函的</w:t>
      </w:r>
      <w:r/>
    </w:p>
    <w:p>
      <w:pPr>
        <w:pStyle w:val="900"/>
        <w:ind w:firstLine="484"/>
        <w:keepLines w:val="0"/>
        <w:keepNext w:val="0"/>
        <w:pageBreakBefore w:val="0"/>
        <w:spacing w:line="360" w:lineRule="auto"/>
        <w:widowControl w:val="off"/>
        <w:rPr>
          <w:rStyle w:val="767"/>
          <w:rFonts w:hint="eastAsia" w:ascii="宋体" w:hAnsi="宋体" w:eastAsia="宋体" w:cs="宋体"/>
          <w:color w:val="000000" w:themeColor="text1"/>
          <w:sz w:val="24"/>
          <w:szCs w:val="24"/>
          <w:highlight w:val="none"/>
          <w14:textFill>
            <w14:solidFill>
              <w14:schemeClr w14:val="tx1"/>
            </w14:solidFill>
          </w14:textFill>
        </w:rPr>
      </w:pPr>
      <w:r>
        <w:rPr>
          <w:rStyle w:val="767"/>
          <w:rFonts w:hint="eastAsia" w:ascii="宋体" w:hAnsi="宋体" w:eastAsia="宋体" w:cs="宋体"/>
          <w:color w:val="000000" w:themeColor="text1"/>
          <w:sz w:val="24"/>
          <w:szCs w:val="24"/>
          <w:highlight w:val="none"/>
          <w14:textFill>
            <w14:solidFill>
              <w14:schemeClr w14:val="tx1"/>
            </w14:solidFill>
          </w14:textFill>
        </w:rPr>
        <w:t xml:space="preserve">合同价款的百分之三十(30%)即￥         ，大写：人民币         元整，在双方签订合同后，买方自收到合法的发票（发票金额为合同总价的30%）后15日内，办理政府采购资金结算手续支付给乙方。</w:t>
      </w:r>
      <w:r/>
    </w:p>
    <w:p>
      <w:pPr>
        <w:pStyle w:val="772"/>
        <w:ind w:firstLine="480"/>
        <w:keepLines w:val="0"/>
        <w:keepNext w:val="0"/>
        <w:pageBreakBefore w:val="0"/>
        <w:spacing w:line="360" w:lineRule="auto"/>
        <w:widowControl w:val="off"/>
        <w:rPr>
          <w:rStyle w:val="767"/>
          <w:rFonts w:hint="eastAsia" w:ascii="宋体" w:hAnsi="宋体" w:eastAsia="宋体" w:cs="宋体"/>
          <w:color w:val="000000" w:themeColor="text1"/>
          <w:sz w:val="24"/>
          <w:szCs w:val="24"/>
          <w:highlight w:val="none"/>
          <w14:textFill>
            <w14:solidFill>
              <w14:schemeClr w14:val="tx1"/>
            </w14:solidFill>
          </w14:textFill>
        </w:rPr>
      </w:pPr>
      <w:r>
        <w:rPr>
          <w:rStyle w:val="767"/>
          <w:rFonts w:hint="eastAsia" w:ascii="宋体" w:hAnsi="宋体" w:eastAsia="宋体" w:cs="宋体"/>
          <w:color w:val="000000" w:themeColor="text1"/>
          <w:sz w:val="24"/>
          <w:szCs w:val="24"/>
          <w:highlight w:val="none"/>
          <w14:textFill>
            <w14:solidFill>
              <w14:schemeClr w14:val="tx1"/>
            </w14:solidFill>
          </w14:textFill>
        </w:rPr>
        <w:t xml:space="preserve">合同总价的百分之七十(70%)即￥          ，大写：人民币                 ，合同标的全部交付并安装完毕验收后，买方自收到发票（发票金额为合同总价的70%）后15日内，由买方办理政府采购资金结算手续，经审核后支付给卖方。</w:t>
      </w:r>
      <w:r/>
    </w:p>
    <w:p>
      <w:pPr>
        <w:pStyle w:val="7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卖方需提交的支付文件包括：</w:t>
      </w:r>
      <w:r/>
    </w:p>
    <w:p>
      <w:pPr>
        <w:pStyle w:val="7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卖方出具的全额正式发票；</w:t>
      </w:r>
      <w:r/>
    </w:p>
    <w:p>
      <w:pPr>
        <w:pStyle w:val="7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交货</w:t>
      </w:r>
      <w:r/>
    </w:p>
    <w:p>
      <w:pPr>
        <w:pStyle w:val="772"/>
        <w:ind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5.1卖方应于合同生效日安后，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日内交货并安装调试完毕。</w:t>
      </w:r>
      <w:r/>
    </w:p>
    <w:p>
      <w:pPr>
        <w:pStyle w:val="7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 交货地点为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日通知买方。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highlight w:val="none"/>
          <w:u w:val="single"/>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 ，违约金的支付不能免除卖方继续交付相关合同标的的义务。</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技术资料随合同标的同时交付给买方。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8.1卖方应于合同生效日后，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日内交货并安装调试完毕。</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签订合同，</w:t>
      </w:r>
      <w:r>
        <w:rPr>
          <w:rFonts w:hint="eastAsia" w:ascii="宋体" w:hAnsi="宋体" w:cs="宋体"/>
          <w:color w:val="000000" w:themeColor="text1"/>
          <w:sz w:val="24"/>
          <w:highlight w:val="none"/>
          <w:lang w:eastAsia="zh-CN"/>
          <w14:textFill>
            <w14:solidFill>
              <w14:schemeClr w14:val="tx1"/>
            </w14:solidFill>
          </w14:textFill>
        </w:rPr>
        <w:t xml:space="preserve">且</w:t>
      </w:r>
      <w:r>
        <w:rPr>
          <w:rFonts w:hint="eastAsia" w:ascii="宋体" w:hAnsi="宋体" w:eastAsia="宋体" w:cs="宋体"/>
          <w:color w:val="000000" w:themeColor="text1"/>
          <w:sz w:val="24"/>
          <w:highlight w:val="none"/>
          <w14:textFill>
            <w14:solidFill>
              <w14:schemeClr w14:val="tx1"/>
            </w14:solidFill>
          </w14:textFill>
        </w:rPr>
        <w:t xml:space="preserve">所有标的</w:t>
      </w:r>
      <w:r>
        <w:rPr>
          <w:rFonts w:hint="eastAsia" w:ascii="宋体" w:hAnsi="宋体" w:cs="宋体"/>
          <w:color w:val="000000" w:themeColor="text1"/>
          <w:sz w:val="24"/>
          <w:highlight w:val="none"/>
          <w:lang w:eastAsia="zh-CN"/>
          <w14:textFill>
            <w14:solidFill>
              <w14:schemeClr w14:val="tx1"/>
            </w14:solidFill>
          </w14:textFill>
        </w:rPr>
        <w:t xml:space="preserve">送达买方指定地点后，</w:t>
      </w:r>
      <w:r>
        <w:rPr>
          <w:rFonts w:hint="eastAsia" w:ascii="宋体" w:hAnsi="宋体" w:eastAsia="宋体" w:cs="宋体"/>
          <w:color w:val="000000" w:themeColor="text1"/>
          <w:sz w:val="24"/>
          <w:highlight w:val="none"/>
          <w14:textFill>
            <w14:solidFill>
              <w14:schemeClr w14:val="tx1"/>
            </w14:solidFill>
          </w14:textFill>
        </w:rPr>
        <w:t xml:space="preserve">经买方验收</w:t>
      </w:r>
      <w:r>
        <w:rPr>
          <w:rFonts w:hint="eastAsia" w:ascii="宋体" w:hAnsi="宋体" w:cs="宋体"/>
          <w:color w:val="000000" w:themeColor="text1"/>
          <w:sz w:val="24"/>
          <w:highlight w:val="none"/>
          <w:lang w:eastAsia="zh-CN"/>
          <w14:textFill>
            <w14:solidFill>
              <w14:schemeClr w14:val="tx1"/>
            </w14:solidFill>
          </w14:textFill>
        </w:rPr>
        <w:t xml:space="preserve">合格</w:t>
      </w:r>
      <w:r>
        <w:rPr>
          <w:rFonts w:hint="eastAsia" w:ascii="宋体" w:hAnsi="宋体" w:eastAsia="宋体" w:cs="宋体"/>
          <w:color w:val="000000" w:themeColor="text1"/>
          <w:sz w:val="24"/>
          <w:highlight w:val="none"/>
          <w14:textFill>
            <w14:solidFill>
              <w14:schemeClr w14:val="tx1"/>
            </w14:solidFill>
          </w14:textFill>
        </w:rPr>
        <w:t xml:space="preserve">方可</w:t>
      </w:r>
      <w:r>
        <w:rPr>
          <w:rFonts w:hint="eastAsia" w:ascii="宋体" w:hAnsi="宋体" w:cs="宋体"/>
          <w:color w:val="000000" w:themeColor="text1"/>
          <w:sz w:val="24"/>
          <w:highlight w:val="none"/>
          <w:lang w:eastAsia="zh-CN"/>
          <w14:textFill>
            <w14:solidFill>
              <w14:schemeClr w14:val="tx1"/>
            </w14:solidFill>
          </w14:textFill>
        </w:rPr>
        <w:t xml:space="preserve">安装</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内</w:t>
      </w:r>
      <w:r>
        <w:rPr>
          <w:rFonts w:hint="eastAsia" w:ascii="宋体" w:hAnsi="宋体" w:eastAsia="宋体" w:cs="宋体"/>
          <w:color w:val="000000" w:themeColor="text1"/>
          <w:sz w:val="24"/>
          <w:highlight w:val="none"/>
          <w14:textFill>
            <w14:solidFill>
              <w14:schemeClr w14:val="tx1"/>
            </w14:solidFill>
          </w14:textFill>
        </w:rPr>
        <w:t xml:space="preserve">进行试运行、验收。如果试运行或验收因卖方原因发生迟延或在其它情况下发生额外费用，买方有权就因迟延发生的损害和损失或任何额外费用请求赔偿。</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11.1买方有权选择本条款规定的任意或全部救济方式。</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13.1如果卖方有下述违约行为，买方可以全部或部分地终止合同：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日内仍未能交付合同标的和技术资料；或者卖方未能履行合同项下任何其它义务，并且在收到买方违约通知后</w:t>
      </w:r>
      <w:r>
        <w:rPr>
          <w:rFonts w:hint="eastAsia" w:ascii="宋体" w:hAnsi="宋体" w:eastAsia="宋体" w:cs="宋体"/>
          <w:color w:val="000000" w:themeColor="text1"/>
          <w:sz w:val="24"/>
          <w:highlight w:val="none"/>
          <w:u w:val="singl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日内仍未能对其违约行为作出补救。</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或文件或未提供的服务类似的标的或文件或服务，卖方应承担买方由此发生的额外费用。但是，卖方仍应继续履行合同义务中没有终止的部分。</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14.1如果不能协商一致，合同任何一方有权向买方所在地人民法院提起诉讼。</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部分涉及国家秘密，该涉及国家秘密部分不公告；买方依据《反不正当竞争法》等法律制度的规定与卖方约定本合同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部分涉及商业秘密，该涉及商业秘密部分不公告。</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 合同双方的通讯地址：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72"/>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合同附件1：合同协议书</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合同附件2：技术规格和技术性能</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合同附件3：售后服务和技术培训</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合同附件4：供货范围和价格清单</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合同附件1：</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合同协议书</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合同编号:____________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签字日期:____________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签字地点:____________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（买方名称</w:t>
      </w:r>
      <w:r>
        <w:rPr>
          <w:rFonts w:hint="eastAsia" w:ascii="宋体" w:hAnsi="宋体" w:eastAsia="宋体" w:cs="宋体"/>
          <w:color w:val="auto"/>
          <w:sz w:val="24"/>
          <w:highlight w:val="none"/>
        </w:rPr>
        <w:t xml:space="preserve">）（以下简称“买方”）已接受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cs="宋体"/>
          <w:color w:val="auto"/>
          <w:sz w:val="24"/>
          <w:highlight w:val="none"/>
          <w:lang w:eastAsia="zh-CN"/>
        </w:rPr>
        <w:t xml:space="preserve">JSZC-320300-JSJP-G2025-0012</w:t>
      </w:r>
      <w:r>
        <w:rPr>
          <w:rFonts w:hint="eastAsia" w:ascii="宋体" w:hAnsi="宋体" w:eastAsia="宋体" w:cs="宋体"/>
          <w:color w:val="auto"/>
          <w:sz w:val="24"/>
          <w:highlight w:val="none"/>
        </w:rPr>
        <w:t xml:space="preserve">）的投标。买</w:t>
      </w:r>
      <w:r>
        <w:rPr>
          <w:rFonts w:hint="eastAsia" w:ascii="宋体" w:hAnsi="宋体" w:eastAsia="宋体" w:cs="宋体"/>
          <w:color w:val="000000" w:themeColor="text1"/>
          <w:sz w:val="24"/>
          <w:highlight w:val="none"/>
          <w14:textFill>
            <w14:solidFill>
              <w14:schemeClr w14:val="tx1"/>
            </w14:solidFill>
          </w14:textFill>
        </w:rPr>
        <w:t xml:space="preserve">方和卖方共同达成如下协议。</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1.本合同协议书中的词语和术语的含义与合同条款中定义的相同。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以下文件应构成买方和卖方之间达成的合同，若各文件之间存在含糊不清或互相冲突之处，优先顺序应按下列文件顺序解释。</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合同协议书</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中标通知书</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合同专用条款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合同通用条款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除合同附件1外的合同附件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其他文件</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考虑到买方将按照本合同向卖方支付合同价款，卖方在此保证全部按照合同的规定向买方提供合同标的、技术资料、售后服务及技术培训。</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考虑到卖方将按合同规定提供合同标的、技术资料、售后服务及技术培训，买方在此保证按照合同规定的时间和方式向卖方支付合同价款。</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本合同在下列条件全部满足后生效，生效日期以下列条件全部满足的最晚日期为准：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双方加盖公章或合同专用章；</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合同一式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份，卖方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份，政府采购管理部门一份备案。</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highlight w:val="none"/>
          <w:lang w:eastAsia="zh-CN"/>
          <w14:textFill>
            <w14:solidFill>
              <w14:schemeClr w14:val="tx1"/>
            </w14:solidFill>
          </w14:textFill>
        </w:rPr>
        <w:t xml:space="preserve">JSZC-320300-JSJP-G2025-0012</w:t>
      </w:r>
      <w:r>
        <w:rPr>
          <w:rFonts w:hint="eastAsia" w:ascii="宋体" w:hAnsi="宋体" w:eastAsia="宋体" w:cs="宋体"/>
          <w:color w:val="000000" w:themeColor="text1"/>
          <w:sz w:val="24"/>
          <w:highlight w:val="none"/>
          <w14:textFill>
            <w14:solidFill>
              <w14:schemeClr w14:val="tx1"/>
            </w14:solidFill>
          </w14:textFill>
        </w:rPr>
        <w:t xml:space="preserve">]为准。</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买方和卖方由其正式授权代表于上述所写日期和地点签订本合同。</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买方（签章）：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法定代表人或授权代表(签名)：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卖方（签章）：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法定代表人或授权代表(签名)：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银行帐号：</w:t>
      </w:r>
      <w:r/>
    </w:p>
    <w:p>
      <w:pPr>
        <w:jc w:val="both"/>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772"/>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第六章  采购需求</w:t>
      </w:r>
      <w:r/>
    </w:p>
    <w:p>
      <w:pPr>
        <w:ind w:firstLine="482"/>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项目内容</w:t>
      </w:r>
      <w:r/>
    </w:p>
    <w:p>
      <w:pPr>
        <w:pStyle w:val="775"/>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残疾儿童康复训练功能室建设及康复设施设备采购项目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75"/>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2、本项目采购的是非进口产品。</w:t>
      </w:r>
      <w:r/>
    </w:p>
    <w:p>
      <w:pPr>
        <w:pStyle w:val="775"/>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3、此项目属于专门面向中小微企业采购的项目，供应商所提供的货物全部由符合政策要求的中小企业制造，供应商提供的货物的制造商应全部为中小微企业、监狱企业、残疾人福利性单位。</w:t>
      </w:r>
      <w:r/>
    </w:p>
    <w:p>
      <w:pPr>
        <w:pStyle w:val="775"/>
        <w:jc w:val="both"/>
        <w:spacing w:line="360" w:lineRule="auto"/>
        <w:rPr>
          <w:rFonts w:hint="eastAsia" w:ascii="宋体" w:hAnsi="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4、采购标的：</w:t>
      </w:r>
      <w:r>
        <w:rPr>
          <w:rFonts w:hint="eastAsia" w:ascii="宋体" w:hAnsi="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：AR互动智慧教室</w:t>
      </w:r>
      <w:r/>
    </w:p>
    <w:p>
      <w:pPr>
        <w:pStyle w:val="775"/>
        <w:ind w:firstLine="16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：肢体运</w:t>
      </w:r>
      <w:r>
        <w:rPr>
          <w:rFonts w:hint="eastAsia" w:ascii="宋体" w:hAnsi="宋体" w:cs="宋体"/>
          <w:color w:val="000000" w:themeColor="text1"/>
          <w:sz w:val="24"/>
          <w:szCs w:val="24"/>
          <w:highlight w:val="none"/>
          <w:lang w:eastAsia="zh-CN"/>
          <w14:textFill>
            <w14:solidFill>
              <w14:schemeClr w14:val="tx1"/>
            </w14:solidFill>
          </w14:textFill>
        </w:rPr>
        <w:t xml:space="preserve">动康复训练室</w:t>
      </w:r>
      <w:r/>
    </w:p>
    <w:p>
      <w:pPr>
        <w:pStyle w:val="775"/>
        <w:ind w:firstLine="480"/>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投标人可同时参与</w:t>
      </w:r>
      <w:r>
        <w:rPr>
          <w:rFonts w:hint="eastAsia" w:ascii="宋体" w:hAnsi="宋体" w:eastAsia="宋体" w:cs="宋体"/>
          <w:color w:val="000000" w:themeColor="text1"/>
          <w:sz w:val="24"/>
          <w:highlight w:val="none"/>
          <w:lang w:eastAsia="zh-CN"/>
          <w14:textFill>
            <w14:solidFill>
              <w14:schemeClr w14:val="tx1"/>
            </w14:solidFill>
          </w14:textFill>
        </w:rPr>
        <w:t xml:space="preserve">上述</w:t>
      </w:r>
      <w:r>
        <w:rPr>
          <w:rFonts w:hint="eastAsia" w:ascii="宋体" w:hAnsi="宋体" w:cs="宋体"/>
          <w:color w:val="000000" w:themeColor="text1"/>
          <w:sz w:val="24"/>
          <w:highlight w:val="none"/>
          <w:lang w:eastAsia="zh-CN"/>
          <w14:textFill>
            <w14:solidFill>
              <w14:schemeClr w14:val="tx1"/>
            </w14:solidFill>
          </w14:textFill>
        </w:rPr>
        <w:t xml:space="preserve">二</w:t>
      </w:r>
      <w:r>
        <w:rPr>
          <w:rFonts w:hint="eastAsia" w:ascii="宋体" w:hAnsi="宋体" w:eastAsia="宋体" w:cs="宋体"/>
          <w:color w:val="000000" w:themeColor="text1"/>
          <w:sz w:val="24"/>
          <w:highlight w:val="none"/>
          <w14:textFill>
            <w14:solidFill>
              <w14:schemeClr w14:val="tx1"/>
            </w14:solidFill>
          </w14:textFill>
        </w:rPr>
        <w:t xml:space="preserve">个采购包的投标，但只能中标其中一个采购包。本项目按照采购包</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的顺序开标、评标。在前一采购包中标后，可以参与下一采购包的评标，但不得再次中标。</w:t>
      </w:r>
      <w:r/>
    </w:p>
    <w:p>
      <w:pPr>
        <w:pStyle w:val="775"/>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5、本项目采购预算：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37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w:t>
      </w:r>
      <w:r/>
    </w:p>
    <w:p>
      <w:pPr>
        <w:pStyle w:val="775"/>
        <w:ind w:firstLine="480"/>
        <w:jc w:val="both"/>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6、本项目最高投标限价：</w:t>
      </w:r>
      <w:r>
        <w:rPr>
          <w:rFonts w:hint="eastAsia" w:ascii="宋体" w:hAnsi="宋体" w:cs="Times New Roman"/>
          <w:b w:val="0"/>
          <w:bCs w:val="0"/>
          <w:color w:val="000000"/>
          <w:sz w:val="24"/>
          <w:szCs w:val="24"/>
          <w:highlight w:val="none"/>
          <w:lang w:val="en-US" w:eastAsia="zh-CN" w:bidi="ar-SA"/>
        </w:rPr>
        <w:t xml:space="preserve">本项目不接受超过</w:t>
      </w:r>
      <w:r>
        <w:rPr>
          <w:rFonts w:hint="eastAsia" w:ascii="宋体" w:hAnsi="宋体" w:cs="Times New Roman"/>
          <w:b w:val="0"/>
          <w:bCs w:val="0"/>
          <w:color w:val="000000"/>
          <w:sz w:val="24"/>
          <w:szCs w:val="24"/>
          <w:highlight w:val="none"/>
          <w:u w:val="single"/>
          <w:lang w:val="en-US" w:eastAsia="zh-CN" w:bidi="ar-SA"/>
        </w:rPr>
        <w:t xml:space="preserve">37</w:t>
      </w:r>
      <w:r>
        <w:rPr>
          <w:rFonts w:hint="eastAsia" w:ascii="宋体" w:hAnsi="宋体" w:eastAsia="宋体" w:cs="Times New Roman"/>
          <w:b w:val="0"/>
          <w:bCs w:val="0"/>
          <w:color w:val="000000"/>
          <w:sz w:val="24"/>
          <w:highlight w:val="none"/>
        </w:rPr>
        <w:t xml:space="preserve">万元人民币（采购项目预算金额）的投标报价</w:t>
      </w:r>
      <w:r>
        <w:rPr>
          <w:rFonts w:hint="eastAsia" w:ascii="宋体" w:hAnsi="宋体" w:cs="Times New Roman"/>
          <w:b w:val="0"/>
          <w:bCs w:val="0"/>
          <w:color w:val="000000"/>
          <w:sz w:val="24"/>
          <w:highlight w:val="none"/>
          <w:lang w:eastAsia="zh-CN"/>
        </w:rPr>
        <w:t xml:space="preserve">。</w:t>
      </w:r>
      <w:r>
        <w:rPr>
          <w:rFonts w:hint="eastAsia" w:ascii="宋体" w:hAnsi="宋体" w:cs="Times New Roman"/>
          <w:b w:val="0"/>
          <w:bCs w:val="0"/>
          <w:color w:val="000000"/>
          <w:sz w:val="24"/>
          <w:highlight w:val="none"/>
          <w:lang w:val="en-US" w:eastAsia="zh-CN"/>
        </w:rPr>
        <w:t xml:space="preserve">其中采购包1</w:t>
      </w:r>
      <w:r>
        <w:rPr>
          <w:rFonts w:hint="eastAsia" w:ascii="宋体" w:hAnsi="宋体" w:cs="Times New Roman"/>
          <w:b w:val="0"/>
          <w:bCs w:val="0"/>
          <w:color w:val="000000"/>
          <w:sz w:val="24"/>
          <w:szCs w:val="24"/>
          <w:highlight w:val="none"/>
          <w:lang w:val="en-US" w:eastAsia="zh-CN" w:bidi="ar-SA"/>
        </w:rPr>
        <w:t xml:space="preserve">不接受超过</w:t>
      </w:r>
      <w:r>
        <w:rPr>
          <w:rFonts w:hint="eastAsia" w:ascii="宋体" w:hAnsi="宋体" w:cs="Times New Roman"/>
          <w:b w:val="0"/>
          <w:bCs w:val="0"/>
          <w:color w:val="000000"/>
          <w:sz w:val="24"/>
          <w:szCs w:val="24"/>
          <w:highlight w:val="none"/>
          <w:u w:val="single"/>
          <w:lang w:val="en-US" w:eastAsia="zh-CN" w:bidi="ar-SA"/>
        </w:rPr>
        <w:t xml:space="preserve"> 22 </w:t>
      </w:r>
      <w:r>
        <w:rPr>
          <w:rFonts w:hint="eastAsia" w:ascii="宋体" w:hAnsi="宋体" w:cs="Times New Roman"/>
          <w:b w:val="0"/>
          <w:bCs w:val="0"/>
          <w:color w:val="000000"/>
          <w:sz w:val="24"/>
          <w:szCs w:val="24"/>
          <w:highlight w:val="none"/>
          <w:lang w:val="en-US" w:eastAsia="zh-CN" w:bidi="ar-SA"/>
        </w:rPr>
        <w:t xml:space="preserve">万元人民币的投标报价，采购包2不接受超过</w:t>
      </w:r>
      <w:r>
        <w:rPr>
          <w:rFonts w:hint="eastAsia" w:ascii="宋体" w:hAnsi="宋体" w:cs="Times New Roman"/>
          <w:b w:val="0"/>
          <w:bCs w:val="0"/>
          <w:color w:val="000000"/>
          <w:sz w:val="24"/>
          <w:szCs w:val="24"/>
          <w:highlight w:val="none"/>
          <w:u w:val="single"/>
          <w:lang w:val="en-US" w:eastAsia="zh-CN" w:bidi="ar-SA"/>
        </w:rPr>
        <w:t xml:space="preserve"> 15 </w:t>
      </w:r>
      <w:r>
        <w:rPr>
          <w:rFonts w:hint="eastAsia" w:ascii="宋体" w:hAnsi="宋体" w:cs="Times New Roman"/>
          <w:b w:val="0"/>
          <w:bCs w:val="0"/>
          <w:color w:val="000000"/>
          <w:sz w:val="24"/>
          <w:szCs w:val="24"/>
          <w:highlight w:val="none"/>
          <w:lang w:val="en-US" w:eastAsia="zh-CN" w:bidi="ar-SA"/>
        </w:rPr>
        <w:t xml:space="preserve">万元人民币的投标报价。</w:t>
      </w:r>
      <w:r/>
    </w:p>
    <w:p>
      <w:pPr>
        <w:pStyle w:val="775"/>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7、该项目不允许分包。</w:t>
      </w:r>
      <w:r/>
    </w:p>
    <w:p>
      <w:pPr>
        <w:pStyle w:val="775"/>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8、完成期限：签订合同后30日内完成送货安装调试。</w:t>
      </w:r>
      <w:r/>
    </w:p>
    <w:p>
      <w:pPr>
        <w:pStyle w:val="775"/>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条件复杂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，建议投标人提前进行现场勘查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2"/>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采购项目预算金额</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本项目不接受超过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37</w:t>
      </w:r>
      <w:r>
        <w:rPr>
          <w:rFonts w:hint="eastAsia" w:ascii="宋体" w:hAnsi="宋体" w:eastAsia="宋体" w:cs="宋体"/>
          <w:color w:val="000000" w:themeColor="text1"/>
          <w:sz w:val="24"/>
          <w:szCs w:val="24"/>
          <w:highlight w:val="none"/>
          <w14:textFill>
            <w14:solidFill>
              <w14:schemeClr w14:val="tx1"/>
            </w14:solidFill>
          </w14:textFill>
        </w:rPr>
        <w:t xml:space="preserve">万元人民币的投标报价。</w:t>
      </w:r>
      <w:r>
        <w:rPr>
          <w:rFonts w:hint="eastAsia" w:ascii="宋体" w:hAnsi="宋体" w:cs="Times New Roman"/>
          <w:b w:val="0"/>
          <w:bCs w:val="0"/>
          <w:color w:val="000000"/>
          <w:sz w:val="24"/>
          <w:highlight w:val="none"/>
          <w:lang w:val="en-US" w:eastAsia="zh-CN"/>
        </w:rPr>
        <w:t xml:space="preserve">其中采购包1</w:t>
      </w:r>
      <w:r>
        <w:rPr>
          <w:rFonts w:hint="eastAsia" w:ascii="宋体" w:hAnsi="宋体" w:cs="Times New Roman"/>
          <w:b w:val="0"/>
          <w:bCs w:val="0"/>
          <w:color w:val="000000"/>
          <w:sz w:val="24"/>
          <w:szCs w:val="24"/>
          <w:highlight w:val="none"/>
          <w:lang w:val="en-US" w:eastAsia="zh-CN" w:bidi="ar-SA"/>
        </w:rPr>
        <w:t xml:space="preserve">不接受超过</w:t>
      </w:r>
      <w:r>
        <w:rPr>
          <w:rFonts w:hint="eastAsia" w:ascii="宋体" w:hAnsi="宋体" w:cs="Times New Roman"/>
          <w:b w:val="0"/>
          <w:bCs w:val="0"/>
          <w:color w:val="000000"/>
          <w:sz w:val="24"/>
          <w:szCs w:val="24"/>
          <w:highlight w:val="none"/>
          <w:u w:val="single"/>
          <w:lang w:val="en-US" w:eastAsia="zh-CN" w:bidi="ar-SA"/>
        </w:rPr>
        <w:t xml:space="preserve"> 22 </w:t>
      </w:r>
      <w:r>
        <w:rPr>
          <w:rFonts w:hint="eastAsia" w:ascii="宋体" w:hAnsi="宋体" w:cs="Times New Roman"/>
          <w:b w:val="0"/>
          <w:bCs w:val="0"/>
          <w:color w:val="000000"/>
          <w:sz w:val="24"/>
          <w:szCs w:val="24"/>
          <w:highlight w:val="none"/>
          <w:lang w:val="en-US" w:eastAsia="zh-CN" w:bidi="ar-SA"/>
        </w:rPr>
        <w:t xml:space="preserve">万元人民币的投标报价，采购包2不接受超过</w:t>
      </w:r>
      <w:r>
        <w:rPr>
          <w:rFonts w:hint="eastAsia" w:ascii="宋体" w:hAnsi="宋体" w:cs="Times New Roman"/>
          <w:b w:val="0"/>
          <w:bCs w:val="0"/>
          <w:color w:val="000000"/>
          <w:sz w:val="24"/>
          <w:szCs w:val="24"/>
          <w:highlight w:val="none"/>
          <w:u w:val="single"/>
          <w:lang w:val="en-US" w:eastAsia="zh-CN" w:bidi="ar-SA"/>
        </w:rPr>
        <w:t xml:space="preserve"> 15 </w:t>
      </w:r>
      <w:r>
        <w:rPr>
          <w:rFonts w:hint="eastAsia" w:ascii="宋体" w:hAnsi="宋体" w:cs="Times New Roman"/>
          <w:b w:val="0"/>
          <w:bCs w:val="0"/>
          <w:color w:val="000000"/>
          <w:sz w:val="24"/>
          <w:szCs w:val="24"/>
          <w:highlight w:val="none"/>
          <w:lang w:val="en-US" w:eastAsia="zh-CN" w:bidi="ar-SA"/>
        </w:rPr>
        <w:t xml:space="preserve">万元人民币的投标报价。</w:t>
      </w:r>
      <w:r>
        <w:rPr>
          <w:rFonts w:hint="eastAsia" w:ascii="宋体" w:hAnsi="宋体" w:eastAsia="宋体" w:cs="宋体"/>
          <w:color w:val="000000" w:themeColor="text1"/>
          <w:sz w:val="24"/>
          <w:szCs w:val="24"/>
          <w:highlight w:val="none"/>
          <w14:textFill>
            <w14:solidFill>
              <w14:schemeClr w14:val="tx1"/>
            </w14:solidFill>
          </w14:textFill>
        </w:rPr>
        <w:t xml:space="preserve">（本项目采购的是非进口产品。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安装调试、</w:t>
      </w:r>
      <w:r>
        <w:rPr>
          <w:rFonts w:hint="eastAsia" w:ascii="宋体" w:hAnsi="宋体" w:cs="宋体"/>
          <w:color w:val="000000" w:themeColor="text1"/>
          <w:sz w:val="24"/>
          <w:szCs w:val="24"/>
          <w:highlight w:val="none"/>
          <w:lang w:val="en-US" w:eastAsia="zh-CN"/>
          <w14:textFill>
            <w14:solidFill>
              <w14:schemeClr w14:val="tx1"/>
            </w14:solidFill>
          </w14:textFill>
        </w:rPr>
        <w:t xml:space="preserve">环境美化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特别提醒：1、该项目要求投标人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根据各采购包要求</w:t>
      </w:r>
      <w:r>
        <w:rPr>
          <w:rFonts w:hint="eastAsia" w:ascii="宋体" w:hAnsi="宋体" w:eastAsia="宋体" w:cs="宋体"/>
          <w:color w:val="000000" w:themeColor="text1"/>
          <w:sz w:val="24"/>
          <w:szCs w:val="24"/>
          <w:highlight w:val="none"/>
          <w14:textFill>
            <w14:solidFill>
              <w14:schemeClr w14:val="tx1"/>
            </w14:solidFill>
          </w14:textFill>
        </w:rPr>
        <w:t xml:space="preserve">，按采购清单报价（整体投标，不接受某一类产品单独投标或未包含完所有产品的投标）；投标报价为采购清单总价。）</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采购清单及技术参数要求</w:t>
      </w:r>
      <w:r/>
    </w:p>
    <w:p>
      <w:pPr>
        <w:jc w:val="both"/>
        <w:spacing w:line="360" w:lineRule="auto"/>
        <w:rPr>
          <w:rFonts w:hint="eastAsia" w:ascii="华文仿宋" w:hAnsi="华文仿宋" w:eastAsia="华文仿宋" w:cs="华文仿宋"/>
          <w:b/>
          <w:color w:val="000000" w:themeColor="text1"/>
          <w:sz w:val="24"/>
          <w:szCs w:val="24"/>
          <w:highlight w:val="none"/>
          <w14:textFill>
            <w14:solidFill>
              <w14:schemeClr w14:val="tx1"/>
            </w14:solidFill>
          </w14:textFill>
        </w:rPr>
      </w:pPr>
      <w:r>
        <w:rPr>
          <w:rFonts w:hint="eastAsia" w:ascii="华文仿宋" w:hAnsi="华文仿宋" w:eastAsia="华文仿宋" w:cs="华文仿宋"/>
          <w:b/>
          <w:color w:val="000000" w:themeColor="text1"/>
          <w:sz w:val="24"/>
          <w:szCs w:val="24"/>
          <w:highlight w:val="none"/>
          <w14:textFill>
            <w14:solidFill>
              <w14:schemeClr w14:val="tx1"/>
            </w14:solidFill>
          </w14:textFill>
        </w:rPr>
      </w:r>
      <w:r/>
    </w:p>
    <w:p>
      <w:pPr>
        <w:jc w:val="center"/>
        <w:spacing w:line="360" w:lineRule="auto"/>
        <w:rPr>
          <w:rFonts w:hint="eastAsia"/>
          <w:b/>
          <w:bCs/>
          <w:sz w:val="32"/>
          <w:szCs w:val="32"/>
          <w:highlight w:val="none"/>
        </w:rPr>
      </w:pPr>
      <w:r>
        <w:rPr>
          <w:rFonts w:hint="eastAsia"/>
          <w:b/>
          <w:bCs/>
          <w:sz w:val="32"/>
          <w:szCs w:val="32"/>
          <w:highlight w:val="none"/>
          <w:lang w:eastAsia="zh-CN"/>
        </w:rPr>
        <w:t xml:space="preserve">采购包</w:t>
      </w:r>
      <w:r>
        <w:rPr>
          <w:rFonts w:hint="eastAsia"/>
          <w:b/>
          <w:bCs/>
          <w:sz w:val="32"/>
          <w:szCs w:val="32"/>
          <w:highlight w:val="none"/>
          <w:lang w:val="en-US" w:eastAsia="zh-CN"/>
        </w:rPr>
        <w:t xml:space="preserve">1</w:t>
      </w:r>
      <w:r/>
    </w:p>
    <w:tbl>
      <w:tblPr>
        <w:tblStyle w:val="737"/>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770"/>
        <w:gridCol w:w="6405"/>
        <w:gridCol w:w="675"/>
        <w:gridCol w:w="583"/>
      </w:tblGrid>
      <w:tr>
        <w:trPr>
          <w:jc w:val="center"/>
          <w:trHeight w:val="446"/>
        </w:trPr>
        <w:tc>
          <w:tcPr>
            <w:tcW w:w="564" w:type="dxa"/>
            <w:vAlign w:val="center"/>
            <w:textDirection w:val="lrTb"/>
            <w:noWrap w:val="false"/>
          </w:tcPr>
          <w:p>
            <w:pPr>
              <w:jc w:val="center"/>
              <w:spacing w:after="0" w:line="240" w:lineRule="auto"/>
              <w:widowControl/>
              <w:rPr>
                <w:rFonts w:hint="eastAsia" w:eastAsia="宋体" w:cs="宋体"/>
                <w:color w:val="auto"/>
                <w:sz w:val="18"/>
                <w:szCs w:val="18"/>
                <w:highlight w:val="none"/>
              </w:rPr>
            </w:pPr>
            <w:r>
              <w:rPr>
                <w:rFonts w:hint="eastAsia" w:ascii="宋体" w:hAnsi="宋体" w:cs="宋体"/>
                <w:color w:val="auto"/>
                <w:sz w:val="18"/>
                <w:szCs w:val="18"/>
                <w:highlight w:val="none"/>
                <w:lang w:bidi="ar"/>
              </w:rPr>
              <w:t xml:space="preserve">序号</w:t>
            </w:r>
            <w:r/>
          </w:p>
        </w:tc>
        <w:tc>
          <w:tcPr>
            <w:tcW w:w="770" w:type="dxa"/>
            <w:vAlign w:val="center"/>
            <w:textDirection w:val="lrTb"/>
            <w:noWrap w:val="false"/>
          </w:tcPr>
          <w:p>
            <w:pPr>
              <w:jc w:val="center"/>
              <w:spacing w:after="0" w:line="240" w:lineRule="auto"/>
              <w:widowControl/>
              <w:rPr>
                <w:rFonts w:hint="eastAsia" w:cs="宋体"/>
                <w:color w:val="auto"/>
                <w:sz w:val="18"/>
                <w:szCs w:val="18"/>
                <w:highlight w:val="none"/>
              </w:rPr>
            </w:pPr>
            <w:r>
              <w:rPr>
                <w:rFonts w:hint="eastAsia" w:ascii="宋体" w:hAnsi="宋体" w:cs="宋体"/>
                <w:color w:val="auto"/>
                <w:sz w:val="18"/>
                <w:szCs w:val="18"/>
                <w:highlight w:val="none"/>
                <w:lang w:bidi="ar"/>
              </w:rPr>
              <w:t xml:space="preserve">设备名称</w:t>
            </w:r>
            <w:r/>
          </w:p>
        </w:tc>
        <w:tc>
          <w:tcPr>
            <w:tcW w:w="6405" w:type="dxa"/>
            <w:vAlign w:val="center"/>
            <w:textDirection w:val="lrTb"/>
            <w:noWrap w:val="false"/>
          </w:tcPr>
          <w:p>
            <w:pPr>
              <w:jc w:val="center"/>
              <w:spacing w:after="0" w:line="240" w:lineRule="auto"/>
              <w:widowControl/>
              <w:rPr>
                <w:rFonts w:hint="eastAsia" w:cs="宋体"/>
                <w:color w:val="auto"/>
                <w:sz w:val="18"/>
                <w:szCs w:val="18"/>
                <w:highlight w:val="none"/>
              </w:rPr>
            </w:pPr>
            <w:r>
              <w:rPr>
                <w:rFonts w:hint="eastAsia" w:ascii="宋体" w:hAnsi="宋体" w:cs="宋体"/>
                <w:color w:val="auto"/>
                <w:sz w:val="18"/>
                <w:szCs w:val="18"/>
                <w:highlight w:val="none"/>
                <w:lang w:bidi="ar"/>
              </w:rPr>
              <w:t xml:space="preserve">技术参数</w:t>
            </w:r>
            <w:r/>
          </w:p>
        </w:tc>
        <w:tc>
          <w:tcPr>
            <w:tcW w:w="675" w:type="dxa"/>
            <w:vAlign w:val="center"/>
            <w:textDirection w:val="lrTb"/>
            <w:noWrap w:val="false"/>
          </w:tcPr>
          <w:p>
            <w:pPr>
              <w:jc w:val="center"/>
              <w:spacing w:after="0" w:line="240" w:lineRule="auto"/>
              <w:widowControl/>
              <w:rPr>
                <w:rFonts w:hint="eastAsia" w:cs="宋体"/>
                <w:color w:val="auto"/>
                <w:sz w:val="18"/>
                <w:szCs w:val="18"/>
                <w:highlight w:val="none"/>
              </w:rPr>
            </w:pPr>
            <w:r>
              <w:rPr>
                <w:rFonts w:hint="eastAsia" w:ascii="宋体" w:hAnsi="宋体" w:cs="宋体"/>
                <w:color w:val="auto"/>
                <w:sz w:val="18"/>
                <w:szCs w:val="18"/>
                <w:highlight w:val="none"/>
                <w:lang w:bidi="ar"/>
              </w:rPr>
              <w:t xml:space="preserve">数量</w:t>
            </w:r>
            <w:r/>
          </w:p>
        </w:tc>
        <w:tc>
          <w:tcPr>
            <w:tcW w:w="583" w:type="dxa"/>
            <w:vAlign w:val="center"/>
            <w:textDirection w:val="lrTb"/>
            <w:noWrap w:val="false"/>
          </w:tcPr>
          <w:p>
            <w:pPr>
              <w:jc w:val="center"/>
              <w:spacing w:after="0" w:line="240" w:lineRule="auto"/>
              <w:widowControl/>
              <w:rPr>
                <w:rFonts w:hint="eastAsia" w:cs="宋体"/>
                <w:color w:val="auto"/>
                <w:sz w:val="18"/>
                <w:szCs w:val="18"/>
                <w:highlight w:val="none"/>
              </w:rPr>
            </w:pPr>
            <w:r>
              <w:rPr>
                <w:rFonts w:hint="eastAsia" w:ascii="宋体" w:hAnsi="宋体" w:cs="宋体"/>
                <w:color w:val="auto"/>
                <w:sz w:val="18"/>
                <w:szCs w:val="18"/>
                <w:highlight w:val="none"/>
                <w:lang w:bidi="ar"/>
              </w:rPr>
              <w:t xml:space="preserve">单位</w:t>
            </w:r>
            <w:r/>
          </w:p>
        </w:tc>
      </w:tr>
      <w:tr>
        <w:trPr>
          <w:jc w:val="center"/>
          <w:trHeight w:val="446"/>
        </w:trPr>
        <w:tc>
          <w:tcPr>
            <w:tcW w:w="564"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1</w:t>
            </w:r>
            <w:r/>
          </w:p>
        </w:tc>
        <w:tc>
          <w:tcPr>
            <w:tcW w:w="770"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rPr>
              <w:t xml:space="preserve">互动教学一体</w:t>
            </w:r>
            <w:r>
              <w:rPr>
                <w:rFonts w:hint="eastAsia" w:cs="宋体"/>
                <w:color w:val="auto"/>
                <w:sz w:val="18"/>
                <w:szCs w:val="18"/>
                <w:highlight w:val="none"/>
                <w:lang w:val="en-US" w:eastAsia="zh-CN"/>
              </w:rPr>
              <w:t xml:space="preserve">机</w:t>
            </w:r>
            <w:r/>
          </w:p>
        </w:tc>
        <w:tc>
          <w:tcPr>
            <w:tcW w:w="6405" w:type="dxa"/>
            <w:vAlign w:val="center"/>
            <w:textDirection w:val="lrTb"/>
            <w:noWrap w:val="false"/>
          </w:tcPr>
          <w:p>
            <w:p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一、</w:t>
            </w:r>
            <w:r>
              <w:rPr>
                <w:rFonts w:hint="eastAsia" w:cs="宋体"/>
                <w:color w:val="auto"/>
                <w:sz w:val="18"/>
                <w:szCs w:val="18"/>
                <w:highlight w:val="none"/>
              </w:rPr>
              <w:t xml:space="preserve">系统</w:t>
            </w:r>
            <w:r>
              <w:rPr>
                <w:rFonts w:hint="eastAsia" w:cs="宋体"/>
                <w:color w:val="auto"/>
                <w:sz w:val="18"/>
                <w:szCs w:val="18"/>
                <w:highlight w:val="none"/>
                <w:lang w:val="en-US" w:eastAsia="zh-CN"/>
              </w:rPr>
              <w:t xml:space="preserve">应</w:t>
            </w:r>
            <w:r>
              <w:rPr>
                <w:rFonts w:hint="eastAsia" w:cs="宋体"/>
                <w:color w:val="auto"/>
                <w:sz w:val="18"/>
                <w:szCs w:val="18"/>
                <w:highlight w:val="none"/>
              </w:rPr>
              <w:t xml:space="preserve">包含体感互动训练和认知训练两部分</w:t>
            </w:r>
            <w:r/>
          </w:p>
          <w:p>
            <w:pPr>
              <w:jc w:val="left"/>
              <w:widowControl/>
              <w:rPr>
                <w:rFonts w:hint="eastAsia" w:cs="宋体"/>
                <w:color w:val="auto"/>
                <w:sz w:val="18"/>
                <w:szCs w:val="18"/>
                <w:highlight w:val="none"/>
              </w:rPr>
            </w:pPr>
            <w:r>
              <w:rPr>
                <w:rFonts w:hint="eastAsia" w:cs="宋体"/>
                <w:color w:val="auto"/>
                <w:sz w:val="18"/>
                <w:szCs w:val="18"/>
                <w:highlight w:val="none"/>
              </w:rPr>
              <w:t xml:space="preserve">1</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体感互动训练系统≥</w:t>
            </w:r>
            <w:r>
              <w:rPr>
                <w:rFonts w:hint="eastAsia" w:cs="宋体"/>
                <w:color w:val="auto"/>
                <w:sz w:val="18"/>
                <w:szCs w:val="18"/>
                <w:highlight w:val="none"/>
                <w:lang w:val="en-US" w:eastAsia="zh-CN"/>
              </w:rPr>
              <w:t xml:space="preserve">30</w:t>
            </w:r>
            <w:r>
              <w:rPr>
                <w:rFonts w:hint="eastAsia" w:cs="宋体"/>
                <w:color w:val="auto"/>
                <w:sz w:val="18"/>
                <w:szCs w:val="18"/>
                <w:highlight w:val="none"/>
              </w:rPr>
              <w:t xml:space="preserve">个互动训练项目，训练方式多样，难</w:t>
            </w:r>
            <w:r>
              <w:rPr>
                <w:rFonts w:hint="eastAsia" w:cs="宋体"/>
                <w:color w:val="auto"/>
                <w:sz w:val="18"/>
                <w:szCs w:val="18"/>
                <w:highlight w:val="none"/>
                <w:lang w:val="en-US" w:eastAsia="zh-CN"/>
              </w:rPr>
              <w:t xml:space="preserve">易</w:t>
            </w:r>
            <w:r>
              <w:rPr>
                <w:rFonts w:hint="eastAsia" w:cs="宋体"/>
                <w:color w:val="auto"/>
                <w:sz w:val="18"/>
                <w:szCs w:val="18"/>
                <w:highlight w:val="none"/>
              </w:rPr>
              <w:t xml:space="preserve">程度可进行选择，训练项目包含</w:t>
            </w:r>
            <w:r>
              <w:rPr>
                <w:rFonts w:hint="eastAsia" w:cs="宋体"/>
                <w:color w:val="auto"/>
                <w:sz w:val="18"/>
                <w:szCs w:val="18"/>
                <w:highlight w:val="none"/>
                <w:lang w:val="en-US" w:eastAsia="zh-CN"/>
              </w:rPr>
              <w:t xml:space="preserve">但不限于</w:t>
            </w:r>
            <w:r>
              <w:rPr>
                <w:rFonts w:hint="eastAsia" w:cs="宋体"/>
                <w:color w:val="auto"/>
                <w:sz w:val="18"/>
                <w:szCs w:val="18"/>
                <w:highlight w:val="none"/>
              </w:rPr>
              <w:t xml:space="preserve">跑步、打乒乓球、射箭、保龄球</w:t>
            </w:r>
            <w:r>
              <w:rPr>
                <w:rFonts w:hint="eastAsia" w:cs="宋体"/>
                <w:color w:val="auto"/>
                <w:sz w:val="18"/>
                <w:szCs w:val="18"/>
                <w:highlight w:val="none"/>
                <w:lang w:val="en-US" w:eastAsia="zh-CN"/>
              </w:rPr>
              <w:t xml:space="preserve">运动</w:t>
            </w:r>
            <w:r>
              <w:rPr>
                <w:rFonts w:hint="eastAsia" w:cs="宋体"/>
                <w:color w:val="auto"/>
                <w:sz w:val="18"/>
                <w:szCs w:val="18"/>
                <w:highlight w:val="none"/>
              </w:rPr>
              <w:t xml:space="preserve">等。</w:t>
            </w:r>
            <w:r/>
          </w:p>
          <w:p>
            <w:pPr>
              <w:jc w:val="left"/>
              <w:widowControl/>
              <w:rPr>
                <w:rFonts w:hint="eastAsia" w:eastAsia="宋体" w:cs="宋体"/>
                <w:color w:val="auto"/>
                <w:sz w:val="18"/>
                <w:szCs w:val="18"/>
                <w:highlight w:val="none"/>
              </w:rPr>
            </w:pPr>
            <w:r>
              <w:rPr>
                <w:rFonts w:hint="eastAsia" w:cs="宋体"/>
                <w:color w:val="auto"/>
                <w:sz w:val="18"/>
                <w:szCs w:val="18"/>
                <w:highlight w:val="none"/>
              </w:rPr>
              <w:t xml:space="preserve">2</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认知训练系统：系统包含≥20类认知卡</w:t>
            </w:r>
            <w:r>
              <w:rPr>
                <w:rFonts w:hint="eastAsia" w:cs="宋体"/>
                <w:color w:val="auto"/>
                <w:sz w:val="18"/>
                <w:szCs w:val="18"/>
                <w:highlight w:val="none"/>
                <w:lang w:val="en-US" w:eastAsia="zh-CN"/>
              </w:rPr>
              <w:t xml:space="preserve">片</w:t>
            </w:r>
            <w:r>
              <w:rPr>
                <w:rFonts w:hint="eastAsia" w:cs="宋体"/>
                <w:color w:val="auto"/>
                <w:sz w:val="18"/>
                <w:szCs w:val="18"/>
                <w:highlight w:val="none"/>
              </w:rPr>
              <w:t xml:space="preserve">，可通过闪卡，顺序切换，图集的方式进行学习认知；也可以通过图片配对，声音配对，图集测试的方式进行认知评估</w:t>
            </w:r>
            <w:r>
              <w:rPr>
                <w:rFonts w:hint="eastAsia" w:cs="宋体"/>
                <w:color w:val="auto"/>
                <w:sz w:val="18"/>
                <w:szCs w:val="18"/>
                <w:highlight w:val="none"/>
                <w:lang w:val="en-US" w:eastAsia="zh-CN"/>
              </w:rPr>
              <w:t xml:space="preserve">等。</w:t>
            </w:r>
            <w:r/>
          </w:p>
          <w:p>
            <w:p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二、</w:t>
            </w:r>
            <w:r>
              <w:rPr>
                <w:rFonts w:hint="eastAsia" w:cs="宋体"/>
                <w:color w:val="auto"/>
                <w:sz w:val="18"/>
                <w:szCs w:val="18"/>
                <w:highlight w:val="none"/>
              </w:rPr>
              <w:t xml:space="preserve">硬件技术参数</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1.显示屏：≥65英寸液晶显示屏，高清分辨率：1920*1080，屏幕刷新频率：60Hz，帧速：≥40fps</w:t>
            </w:r>
            <w:r/>
          </w:p>
          <w:p>
            <w:pPr>
              <w:jc w:val="left"/>
              <w:widowControl/>
              <w:rPr>
                <w:rFonts w:hint="eastAsia" w:cs="宋体"/>
                <w:color w:val="auto"/>
                <w:sz w:val="18"/>
                <w:szCs w:val="18"/>
                <w:highlight w:val="none"/>
              </w:rPr>
            </w:pPr>
            <w:r>
              <w:rPr>
                <w:rFonts w:hint="eastAsia" w:cs="宋体"/>
                <w:color w:val="auto"/>
                <w:sz w:val="18"/>
                <w:szCs w:val="18"/>
                <w:highlight w:val="none"/>
              </w:rPr>
              <w:t xml:space="preserve">2.控制主机：处理器：IntelCorei5</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硬盘：≥120GB固态硬盘，内存：≥8GB，接口类型：USB3.0</w:t>
            </w:r>
            <w:r/>
          </w:p>
          <w:p>
            <w:pPr>
              <w:jc w:val="left"/>
              <w:widowControl/>
              <w:rPr>
                <w:rFonts w:hint="eastAsia" w:cs="宋体"/>
                <w:color w:val="auto"/>
                <w:sz w:val="18"/>
                <w:szCs w:val="18"/>
                <w:highlight w:val="none"/>
              </w:rPr>
            </w:pPr>
            <w:r>
              <w:rPr>
                <w:rFonts w:hint="eastAsia" w:cs="宋体"/>
                <w:color w:val="auto"/>
                <w:sz w:val="18"/>
                <w:szCs w:val="18"/>
                <w:highlight w:val="none"/>
              </w:rPr>
              <w:t xml:space="preserve">3.感应器：Kinect图像处理技术，精确捕捉人体目标，支持多人捕捉互动，可识别范围0.5~4.5M、红外相机：512x484，30Hz（1080p彩色相机30Hz(弱光条件下为15Hz)）可同时识别6人、25个骨骼点拇指追踪、手指末端追踪、打开和收缩的手势。</w:t>
            </w:r>
            <w:r/>
          </w:p>
          <w:p>
            <w:pPr>
              <w:jc w:val="left"/>
              <w:widowControl/>
              <w:rPr>
                <w:rFonts w:hint="eastAsia" w:eastAsia="宋体"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4.设备机箱采用ABS环保工程塑料，制作工艺采用模具注塑一次性冲压成型，产品外形无锐角安全性高；ABS机箱内外均采用塑料零部件有效绝缘，保障儿童安全</w:t>
            </w:r>
            <w:r>
              <w:rPr>
                <w:rFonts w:hint="eastAsia" w:cs="宋体"/>
                <w:color w:val="auto"/>
                <w:sz w:val="18"/>
                <w:szCs w:val="18"/>
                <w:highlight w:val="none"/>
                <w:lang w:eastAsia="zh-CN"/>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三、</w:t>
            </w:r>
            <w:r>
              <w:rPr>
                <w:rFonts w:hint="eastAsia" w:cs="宋体"/>
                <w:color w:val="auto"/>
                <w:sz w:val="18"/>
                <w:szCs w:val="18"/>
                <w:highlight w:val="none"/>
              </w:rPr>
              <w:t xml:space="preserve">软件功能参数</w:t>
            </w:r>
            <w:r/>
          </w:p>
          <w:p>
            <w:pPr>
              <w:jc w:val="left"/>
              <w:widowControl/>
              <w:rPr>
                <w:rFonts w:hint="eastAsia" w:cs="宋体"/>
                <w:color w:val="auto"/>
                <w:sz w:val="18"/>
                <w:szCs w:val="18"/>
                <w:highlight w:val="none"/>
              </w:rPr>
            </w:pPr>
            <w:r>
              <w:rPr>
                <w:rFonts w:hint="eastAsia" w:cs="宋体"/>
                <w:color w:val="auto"/>
                <w:sz w:val="18"/>
                <w:szCs w:val="18"/>
                <w:highlight w:val="none"/>
              </w:rPr>
              <w:t xml:space="preserve">1.交互内容库</w:t>
            </w:r>
            <w:r>
              <w:rPr>
                <w:rFonts w:hint="eastAsia" w:cs="宋体"/>
                <w:color w:val="auto"/>
                <w:sz w:val="18"/>
                <w:szCs w:val="18"/>
                <w:highlight w:val="none"/>
                <w:lang w:val="en-US" w:eastAsia="zh-CN"/>
              </w:rPr>
              <w:t xml:space="preserve">需</w:t>
            </w:r>
            <w:r>
              <w:rPr>
                <w:rFonts w:hint="eastAsia" w:cs="宋体"/>
                <w:color w:val="auto"/>
                <w:sz w:val="18"/>
                <w:szCs w:val="18"/>
                <w:highlight w:val="none"/>
              </w:rPr>
              <w:t xml:space="preserve">具有丰富的互动教育资源，分类呈现；</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2.包含</w:t>
            </w:r>
            <w:r>
              <w:rPr>
                <w:rFonts w:hint="eastAsia" w:cs="宋体"/>
                <w:color w:val="auto"/>
                <w:sz w:val="18"/>
                <w:szCs w:val="18"/>
                <w:highlight w:val="none"/>
                <w:lang w:val="en-US" w:eastAsia="zh-CN"/>
              </w:rPr>
              <w:t xml:space="preserve">如</w:t>
            </w:r>
            <w:r>
              <w:rPr>
                <w:rFonts w:hint="eastAsia" w:cs="宋体"/>
                <w:color w:val="auto"/>
                <w:sz w:val="18"/>
                <w:szCs w:val="18"/>
                <w:highlight w:val="none"/>
              </w:rPr>
              <w:t xml:space="preserve">认知训练，生活自理，情绪疏解，综合训练，上肢训练，下肢训练，虚拟漫游等不少于7类模块；</w:t>
            </w:r>
            <w:r/>
          </w:p>
          <w:p>
            <w:pPr>
              <w:jc w:val="left"/>
              <w:widowControl/>
              <w:rPr>
                <w:rFonts w:hint="eastAsia" w:eastAsia="宋体" w:cs="宋体"/>
                <w:color w:val="auto"/>
                <w:sz w:val="18"/>
                <w:szCs w:val="18"/>
                <w:highlight w:val="none"/>
              </w:rPr>
            </w:pPr>
            <w:r>
              <w:rPr>
                <w:rFonts w:hint="eastAsia" w:cs="宋体"/>
                <w:color w:val="auto"/>
                <w:sz w:val="18"/>
                <w:szCs w:val="18"/>
                <w:highlight w:val="none"/>
              </w:rPr>
              <w:t xml:space="preserve">3.无需佩带传感器，采用智能关节识别技术，对全身25个关节点快速识别；通过虚拟视听情景互动方式快速进行肢体互动训练和教学内容训练</w:t>
            </w:r>
            <w:r>
              <w:rPr>
                <w:rFonts w:hint="eastAsia" w:cs="宋体"/>
                <w:color w:val="auto"/>
                <w:sz w:val="18"/>
                <w:szCs w:val="18"/>
                <w:highlight w:val="none"/>
                <w:lang w:eastAsia="zh-CN"/>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rPr>
              <w:t xml:space="preserve">4.通过虚拟视听情景互动方式进行四肢和躯干关节以及粗大运动的训练，包括单侧或双侧肢体同时训练、协调能力训练及肌力等多种训练。</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5.采用运动控制及姿势控制，运用反射、反应和平衡、姿势等原理构建趋于真实生活场景的动态3D趣味互动反馈游戏，激发训练者主动参与训练，让训练者运动控制、训练更加高效、测评及训练依从度高。</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6.训练内容不少于30个，可多人互动和单人互动；系统内容</w:t>
            </w:r>
            <w:r>
              <w:rPr>
                <w:rFonts w:hint="eastAsia" w:cs="宋体"/>
                <w:color w:val="auto"/>
                <w:sz w:val="18"/>
                <w:szCs w:val="18"/>
                <w:highlight w:val="none"/>
                <w:lang w:val="en-US" w:eastAsia="zh-CN"/>
              </w:rPr>
              <w:t xml:space="preserve">例如：</w:t>
            </w:r>
            <w:r>
              <w:rPr>
                <w:rFonts w:hint="eastAsia" w:cs="宋体"/>
                <w:color w:val="auto"/>
                <w:sz w:val="18"/>
                <w:szCs w:val="18"/>
                <w:highlight w:val="none"/>
              </w:rPr>
              <w:t xml:space="preserve">秋日落叶、气球、AR换脸、切水果、打地鼠、音乐格子、厨房取物、森林、认知训练、视频沉浸等。</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7.进入训练内容可进行时间的设定，训练难度分为简单，中等，困难；</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8.系统一键开机进入系统，可通过遥控器进行节目的选择和内容的切换。</w:t>
            </w:r>
            <w:r/>
          </w:p>
          <w:p>
            <w:pPr>
              <w:jc w:val="left"/>
              <w:widowControl/>
              <w:rPr>
                <w:rFonts w:hint="eastAsia" w:cs="宋体"/>
                <w:color w:val="auto"/>
                <w:sz w:val="18"/>
                <w:szCs w:val="18"/>
                <w:highlight w:val="none"/>
              </w:rPr>
            </w:pPr>
            <w:r>
              <w:rPr>
                <w:rFonts w:hint="eastAsia" w:cs="宋体"/>
                <w:color w:val="auto"/>
                <w:sz w:val="18"/>
                <w:szCs w:val="18"/>
                <w:highlight w:val="none"/>
              </w:rPr>
              <w:t xml:space="preserve">9.游戏中应用抠像技术，使单个训练者或者多达6个训练者都可在屏幕上看到自己，实现单人或多人同时训练，运用趣味性的练习达到康复的目的。</w:t>
            </w:r>
            <w:r/>
          </w:p>
          <w:p>
            <w:pPr>
              <w:jc w:val="left"/>
              <w:widowControl/>
              <w:rPr>
                <w:rFonts w:hint="eastAsia" w:cs="宋体"/>
                <w:color w:val="auto"/>
                <w:sz w:val="18"/>
                <w:szCs w:val="18"/>
                <w:highlight w:val="none"/>
              </w:rPr>
            </w:pPr>
            <w:r>
              <w:rPr>
                <w:rFonts w:hint="eastAsia" w:cs="宋体"/>
                <w:color w:val="auto"/>
                <w:sz w:val="18"/>
                <w:szCs w:val="18"/>
                <w:highlight w:val="none"/>
              </w:rPr>
              <w:t xml:space="preserve">10.可通过遥控器进行内容的选择；</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11.训练内容</w:t>
            </w:r>
            <w:r>
              <w:rPr>
                <w:rFonts w:hint="eastAsia" w:cs="宋体"/>
                <w:color w:val="auto"/>
                <w:sz w:val="18"/>
                <w:szCs w:val="18"/>
                <w:highlight w:val="none"/>
                <w:lang w:val="en-US" w:eastAsia="zh-CN"/>
              </w:rPr>
              <w:t xml:space="preserve">显示</w:t>
            </w:r>
            <w:r>
              <w:rPr>
                <w:rFonts w:hint="eastAsia" w:cs="宋体"/>
                <w:color w:val="auto"/>
                <w:sz w:val="18"/>
                <w:szCs w:val="18"/>
                <w:highlight w:val="none"/>
              </w:rPr>
              <w:t xml:space="preserve">分辨率：1920*1080，为儿童康复训练和教学</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提供卡通</w:t>
            </w:r>
            <w:r>
              <w:rPr>
                <w:rFonts w:hint="eastAsia" w:cs="宋体"/>
                <w:color w:val="auto"/>
                <w:sz w:val="18"/>
                <w:szCs w:val="18"/>
                <w:highlight w:val="none"/>
                <w:lang w:val="en-US" w:eastAsia="zh-CN"/>
              </w:rPr>
              <w:t xml:space="preserve">动</w:t>
            </w:r>
            <w:r>
              <w:rPr>
                <w:rFonts w:hint="eastAsia" w:cs="宋体"/>
                <w:color w:val="auto"/>
                <w:sz w:val="18"/>
                <w:szCs w:val="18"/>
                <w:highlight w:val="none"/>
              </w:rPr>
              <w:t xml:space="preserve">画游戏训练</w:t>
            </w:r>
            <w:r>
              <w:rPr>
                <w:rFonts w:hint="eastAsia" w:cs="宋体"/>
                <w:color w:val="auto"/>
                <w:sz w:val="18"/>
                <w:szCs w:val="18"/>
                <w:highlight w:val="none"/>
                <w:lang w:val="en-US" w:eastAsia="zh-CN"/>
              </w:rPr>
              <w:t xml:space="preserve">等</w:t>
            </w:r>
            <w:r>
              <w:rPr>
                <w:rFonts w:hint="eastAsia" w:cs="宋体"/>
                <w:color w:val="auto"/>
                <w:sz w:val="18"/>
                <w:szCs w:val="18"/>
                <w:highlight w:val="none"/>
              </w:rPr>
              <w:t xml:space="preserve">高质量画面；</w:t>
            </w:r>
            <w:r/>
          </w:p>
          <w:p>
            <w:pPr>
              <w:jc w:val="left"/>
              <w:widowControl/>
              <w:rPr>
                <w:rFonts w:hint="eastAsia" w:cs="宋体"/>
                <w:color w:val="auto"/>
                <w:sz w:val="18"/>
                <w:szCs w:val="18"/>
                <w:highlight w:val="none"/>
              </w:rPr>
            </w:pPr>
            <w:r>
              <w:rPr>
                <w:rFonts w:hint="eastAsia" w:ascii="宋体" w:hAnsi="宋体" w:eastAsia="宋体" w:cs="宋体"/>
                <w:b/>
                <w:bCs/>
                <w:color w:val="auto"/>
                <w:sz w:val="18"/>
                <w:szCs w:val="18"/>
                <w:highlight w:val="none"/>
                <w:lang w:val="en-US" w:eastAsia="zh-CN"/>
              </w:rPr>
              <w:t xml:space="preserve">注：以上加“</w:t>
            </w:r>
            <w:r>
              <w:rPr>
                <w:rFonts w:hint="eastAsia" w:ascii="宋体" w:hAnsi="宋体" w:cs="宋体"/>
                <w:b/>
                <w:bCs/>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”标志技术参数，须提供第三方检测机构出具的带有CMA标识的检测报告扫描件。</w:t>
            </w:r>
            <w:r/>
          </w:p>
        </w:tc>
        <w:tc>
          <w:tcPr>
            <w:tcW w:w="675"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1</w:t>
            </w:r>
            <w:r/>
          </w:p>
        </w:tc>
        <w:tc>
          <w:tcPr>
            <w:tcW w:w="583"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套</w:t>
            </w:r>
            <w:r/>
          </w:p>
        </w:tc>
      </w:tr>
      <w:tr>
        <w:trPr>
          <w:jc w:val="center"/>
          <w:trHeight w:val="357"/>
        </w:trPr>
        <w:tc>
          <w:tcPr>
            <w:tcW w:w="564" w:type="dxa"/>
            <w:vAlign w:val="center"/>
            <w:textDirection w:val="lrTb"/>
            <w:noWrap w:val="false"/>
          </w:tcPr>
          <w:p>
            <w:pPr>
              <w:jc w:val="center"/>
              <w:widowControl/>
              <w:rPr>
                <w:rFonts w:hint="default" w:cs="宋体"/>
                <w:color w:val="auto"/>
                <w:sz w:val="18"/>
                <w:szCs w:val="18"/>
                <w:highlight w:val="none"/>
              </w:rPr>
            </w:pPr>
            <w:r>
              <w:rPr>
                <w:rFonts w:hint="eastAsia" w:cs="宋体"/>
                <w:color w:val="auto"/>
                <w:sz w:val="18"/>
                <w:szCs w:val="18"/>
                <w:highlight w:val="none"/>
                <w:lang w:val="en-US" w:eastAsia="zh-CN"/>
              </w:rPr>
              <w:t xml:space="preserve">2</w:t>
            </w:r>
            <w:r/>
          </w:p>
        </w:tc>
        <w:tc>
          <w:tcPr>
            <w:tcW w:w="770"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rPr>
              <w:t xml:space="preserve">儿童助教机器</w:t>
            </w:r>
            <w:r>
              <w:rPr>
                <w:rFonts w:hint="eastAsia" w:cs="宋体"/>
                <w:color w:val="auto"/>
                <w:sz w:val="18"/>
                <w:szCs w:val="18"/>
                <w:highlight w:val="none"/>
                <w:lang w:val="en-US" w:eastAsia="zh-CN"/>
              </w:rPr>
              <w:t xml:space="preserve">人</w:t>
            </w:r>
            <w:r/>
          </w:p>
        </w:tc>
        <w:tc>
          <w:tcPr>
            <w:tcW w:w="6405" w:type="dxa"/>
            <w:vAlign w:val="center"/>
            <w:textDirection w:val="lrTb"/>
            <w:noWrap w:val="false"/>
          </w:tcPr>
          <w:p>
            <w:pPr>
              <w:ind w:firstLine="360"/>
              <w:jc w:val="left"/>
              <w:widowControl/>
              <w:rPr>
                <w:rFonts w:hint="eastAsia" w:cs="宋体"/>
                <w:color w:val="auto"/>
                <w:sz w:val="18"/>
                <w:szCs w:val="18"/>
                <w:highlight w:val="none"/>
              </w:rPr>
            </w:pPr>
            <w:r>
              <w:rPr>
                <w:rFonts w:hint="eastAsia" w:cs="宋体"/>
                <w:color w:val="auto"/>
                <w:sz w:val="18"/>
                <w:szCs w:val="18"/>
                <w:highlight w:val="none"/>
              </w:rPr>
              <w:t xml:space="preserve">儿童康复机器人具有拟人化外观，工业一体化设计，可以智能行走并可进行语音交流和智能交互；同时，该机器人内置平台可实现课堂助教，康复评估，认知训练，康复服务，智能陪伴，远程监管，社交沟通，虚拟运动等多种功能模块；</w:t>
            </w:r>
            <w:r/>
          </w:p>
          <w:p>
            <w:pPr>
              <w:ind w:firstLine="360"/>
              <w:jc w:val="left"/>
              <w:widowControl/>
              <w:rPr>
                <w:rFonts w:hint="eastAsia" w:cs="宋体"/>
                <w:color w:val="auto"/>
                <w:sz w:val="18"/>
                <w:szCs w:val="18"/>
                <w:highlight w:val="none"/>
              </w:rPr>
            </w:pPr>
            <w:r>
              <w:rPr>
                <w:rFonts w:hint="eastAsia" w:cs="宋体"/>
                <w:color w:val="auto"/>
                <w:sz w:val="18"/>
                <w:szCs w:val="18"/>
                <w:highlight w:val="none"/>
              </w:rPr>
              <w:t xml:space="preserve">产品参数</w:t>
            </w:r>
            <w:r/>
          </w:p>
          <w:p>
            <w:pPr>
              <w:numPr>
                <w:ilvl w:val="0"/>
                <w:numId w:val="0"/>
              </w:num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1.</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尺寸</w:t>
            </w:r>
            <w:r>
              <w:rPr>
                <w:rFonts w:hint="eastAsia" w:cs="宋体"/>
                <w:color w:val="auto"/>
                <w:sz w:val="18"/>
                <w:szCs w:val="18"/>
                <w:highlight w:val="none"/>
                <w:lang w:eastAsia="zh-CN"/>
              </w:rPr>
              <w:t xml:space="preserve">（</w:t>
            </w:r>
            <w:r>
              <w:rPr>
                <w:rFonts w:hint="eastAsia" w:ascii="微软雅黑" w:hAnsi="微软雅黑" w:eastAsia="微软雅黑" w:cs="微软雅黑"/>
                <w:color w:val="auto"/>
                <w:sz w:val="18"/>
                <w:szCs w:val="18"/>
                <w:highlight w:val="none"/>
                <w:lang w:eastAsia="zh-CN"/>
              </w:rPr>
              <w:t xml:space="preserve">±</w:t>
            </w:r>
            <w:r>
              <w:rPr>
                <w:rFonts w:hint="eastAsia" w:cs="宋体"/>
                <w:color w:val="auto"/>
                <w:sz w:val="18"/>
                <w:szCs w:val="18"/>
                <w:highlight w:val="none"/>
                <w:lang w:val="en-US" w:eastAsia="zh-CN"/>
              </w:rPr>
              <w:t xml:space="preserve">50</w:t>
            </w:r>
            <w:r>
              <w:rPr>
                <w:rFonts w:hint="eastAsia" w:cs="宋体"/>
                <w:color w:val="auto"/>
                <w:sz w:val="18"/>
                <w:szCs w:val="18"/>
                <w:highlight w:val="none"/>
              </w:rPr>
              <w:t xml:space="preserve">mm</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：900mm（高）x420mm（宽）x330mm（深）</w:t>
            </w:r>
            <w:r/>
          </w:p>
          <w:p>
            <w:pPr>
              <w:numPr>
                <w:ilvl w:val="0"/>
                <w:numId w:val="0"/>
              </w:num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2.</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电池类型：锂电池容量：20Ah/300W正常运行时间约10小时，待机超过20小时</w:t>
            </w:r>
            <w:r/>
          </w:p>
          <w:p>
            <w:pPr>
              <w:jc w:val="left"/>
              <w:widowControl/>
              <w:rPr>
                <w:rFonts w:hint="eastAsia" w:cs="宋体"/>
                <w:color w:val="auto"/>
                <w:sz w:val="18"/>
                <w:szCs w:val="18"/>
                <w:highlight w:val="none"/>
              </w:rPr>
            </w:pPr>
            <w:r>
              <w:rPr>
                <w:rFonts w:hint="eastAsia" w:cs="宋体"/>
                <w:color w:val="auto"/>
                <w:sz w:val="18"/>
                <w:szCs w:val="18"/>
                <w:highlight w:val="none"/>
              </w:rPr>
              <w:t xml:space="preserve">3.</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传感器：头：Micx7、RGB相机x2、3D传感器x1、触控传感器x7；身：RGB相机x1、陀螺仪传感器x1、人体感应传感器x2、红外避障传感器x3、红外接收传感器x6、触控传感器x4、电子罗盘传感器x1；手：红外避障传感器x4、触控传感器x2；腿：红外避障传感器x10、全向轮x3</w:t>
            </w:r>
            <w:r/>
          </w:p>
          <w:p>
            <w:pPr>
              <w:jc w:val="left"/>
              <w:widowControl/>
              <w:rPr>
                <w:rFonts w:hint="eastAsia" w:cs="宋体"/>
                <w:color w:val="auto"/>
                <w:sz w:val="18"/>
                <w:szCs w:val="18"/>
                <w:highlight w:val="none"/>
              </w:rPr>
            </w:pPr>
            <w:r>
              <w:rPr>
                <w:rFonts w:hint="eastAsia" w:cs="宋体"/>
                <w:color w:val="auto"/>
                <w:sz w:val="18"/>
                <w:szCs w:val="18"/>
                <w:highlight w:val="none"/>
              </w:rPr>
              <w:t xml:space="preserve">4.</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活动部件：头部2个自由度，水平180度，上下30度;手部1x2(L\R)个自由度，270度前后摆动；底盘3个自由度，任意角度</w:t>
            </w:r>
            <w:r/>
          </w:p>
          <w:p>
            <w:pPr>
              <w:jc w:val="left"/>
              <w:widowControl/>
              <w:rPr>
                <w:rFonts w:hint="eastAsia" w:cs="宋体"/>
                <w:color w:val="auto"/>
                <w:sz w:val="18"/>
                <w:szCs w:val="18"/>
                <w:highlight w:val="none"/>
              </w:rPr>
            </w:pPr>
            <w:r>
              <w:rPr>
                <w:rFonts w:hint="eastAsia" w:cs="宋体"/>
                <w:color w:val="auto"/>
                <w:sz w:val="18"/>
                <w:szCs w:val="18"/>
                <w:highlight w:val="none"/>
              </w:rPr>
              <w:t xml:space="preserve">5.视频：800万像素高清摄像头、100万像素高清彩色摄像机、140度非球面广角</w:t>
            </w:r>
            <w:r/>
          </w:p>
          <w:p>
            <w:pPr>
              <w:jc w:val="left"/>
              <w:widowControl/>
              <w:rPr>
                <w:rFonts w:hint="eastAsia" w:cs="宋体"/>
                <w:color w:val="auto"/>
                <w:sz w:val="18"/>
                <w:szCs w:val="18"/>
                <w:highlight w:val="none"/>
              </w:rPr>
            </w:pPr>
            <w:r>
              <w:rPr>
                <w:rFonts w:hint="eastAsia" w:cs="宋体"/>
                <w:color w:val="auto"/>
                <w:sz w:val="18"/>
                <w:szCs w:val="18"/>
                <w:highlight w:val="none"/>
              </w:rPr>
              <w:t xml:space="preserve">6.</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显示：10.1英寸1080P、高清电容式十点触摸显示</w:t>
            </w:r>
            <w:r/>
          </w:p>
          <w:p>
            <w:pPr>
              <w:jc w:val="left"/>
              <w:widowControl/>
              <w:rPr>
                <w:rFonts w:hint="eastAsia" w:cs="宋体"/>
                <w:color w:val="auto"/>
                <w:sz w:val="18"/>
                <w:szCs w:val="18"/>
                <w:highlight w:val="none"/>
              </w:rPr>
            </w:pPr>
            <w:r>
              <w:rPr>
                <w:rFonts w:hint="eastAsia" w:cs="宋体"/>
                <w:color w:val="auto"/>
                <w:sz w:val="18"/>
                <w:szCs w:val="18"/>
                <w:highlight w:val="none"/>
              </w:rPr>
              <w:t xml:space="preserve">7.操作系统：Android</w:t>
            </w:r>
            <w:r/>
          </w:p>
          <w:p>
            <w:pPr>
              <w:jc w:val="left"/>
              <w:widowControl/>
              <w:rPr>
                <w:rFonts w:hint="eastAsia" w:cs="宋体"/>
                <w:color w:val="auto"/>
                <w:sz w:val="18"/>
                <w:szCs w:val="18"/>
                <w:highlight w:val="none"/>
              </w:rPr>
            </w:pPr>
            <w:r>
              <w:rPr>
                <w:rFonts w:hint="eastAsia" w:cs="宋体"/>
                <w:color w:val="auto"/>
                <w:sz w:val="18"/>
                <w:szCs w:val="18"/>
                <w:highlight w:val="none"/>
              </w:rPr>
              <w:t xml:space="preserve">8.氛围灯：颜色可定制、耳朵2圈、手部2个、底盘1圈</w:t>
            </w:r>
            <w:r/>
          </w:p>
          <w:p>
            <w:pPr>
              <w:jc w:val="left"/>
              <w:widowControl/>
              <w:rPr>
                <w:rFonts w:hint="eastAsia" w:cs="宋体"/>
                <w:color w:val="auto"/>
                <w:sz w:val="18"/>
                <w:szCs w:val="18"/>
                <w:highlight w:val="none"/>
              </w:rPr>
            </w:pPr>
            <w:r>
              <w:rPr>
                <w:rFonts w:hint="eastAsia" w:cs="宋体"/>
                <w:color w:val="auto"/>
                <w:sz w:val="18"/>
                <w:szCs w:val="18"/>
                <w:highlight w:val="none"/>
              </w:rPr>
              <w:t xml:space="preserve">9.声音：语音控制，360度音源定位、4个高音喇叭、1个低音喇叭</w:t>
            </w:r>
            <w:r/>
          </w:p>
          <w:p>
            <w:pPr>
              <w:jc w:val="left"/>
              <w:widowControl/>
              <w:rPr>
                <w:rFonts w:hint="eastAsia" w:cs="宋体"/>
                <w:color w:val="auto"/>
                <w:sz w:val="18"/>
                <w:szCs w:val="18"/>
                <w:highlight w:val="none"/>
              </w:rPr>
            </w:pPr>
            <w:r>
              <w:rPr>
                <w:rFonts w:hint="eastAsia" w:cs="宋体"/>
                <w:color w:val="auto"/>
                <w:sz w:val="18"/>
                <w:szCs w:val="18"/>
                <w:highlight w:val="none"/>
              </w:rPr>
              <w:t xml:space="preserve">10.活动速度：最大0.8m/s、最高1.5cm</w:t>
            </w:r>
            <w:r/>
          </w:p>
          <w:p>
            <w:pPr>
              <w:jc w:val="left"/>
              <w:widowControl/>
              <w:rPr>
                <w:rFonts w:hint="eastAsia" w:cs="宋体"/>
                <w:color w:val="auto"/>
                <w:sz w:val="18"/>
                <w:szCs w:val="18"/>
                <w:highlight w:val="none"/>
              </w:rPr>
            </w:pPr>
            <w:r>
              <w:rPr>
                <w:rFonts w:hint="eastAsia" w:cs="宋体"/>
                <w:color w:val="auto"/>
                <w:sz w:val="18"/>
                <w:szCs w:val="18"/>
                <w:highlight w:val="none"/>
              </w:rPr>
              <w:t xml:space="preserve">11.无线网络：WiFi：IEEE802.11a\b\g\n(2.4GHz\5GHz)、蓝牙4.0、ZigBee</w:t>
            </w:r>
            <w:r/>
          </w:p>
          <w:p>
            <w:pPr>
              <w:jc w:val="left"/>
              <w:widowControl/>
              <w:rPr>
                <w:rFonts w:hint="eastAsia" w:cs="宋体"/>
                <w:color w:val="auto"/>
                <w:sz w:val="18"/>
                <w:szCs w:val="18"/>
                <w:highlight w:val="none"/>
              </w:rPr>
            </w:pPr>
            <w:r>
              <w:rPr>
                <w:rFonts w:hint="eastAsia" w:cs="宋体"/>
                <w:color w:val="auto"/>
                <w:sz w:val="18"/>
                <w:szCs w:val="18"/>
                <w:highlight w:val="none"/>
              </w:rPr>
              <w:t xml:space="preserve">12.充电类型：自动充电、手动充电、线充</w:t>
            </w:r>
            <w:r/>
          </w:p>
          <w:p>
            <w:pPr>
              <w:jc w:val="left"/>
              <w:widowControl/>
              <w:rPr>
                <w:rFonts w:hint="eastAsia" w:cs="宋体"/>
                <w:color w:val="auto"/>
                <w:sz w:val="18"/>
                <w:szCs w:val="18"/>
                <w:highlight w:val="none"/>
              </w:rPr>
            </w:pPr>
            <w:r>
              <w:rPr>
                <w:rFonts w:hint="eastAsia" w:cs="宋体"/>
                <w:color w:val="auto"/>
                <w:sz w:val="18"/>
                <w:szCs w:val="18"/>
                <w:highlight w:val="none"/>
              </w:rPr>
              <w:t xml:space="preserve">13.自动充电：0～5m、180度信号覆盖；安装方式：室内落地式或壁挂式；指示灯：1个呼吸显示</w:t>
            </w:r>
            <w:r/>
          </w:p>
          <w:p>
            <w:pPr>
              <w:jc w:val="left"/>
              <w:widowControl/>
              <w:rPr>
                <w:rFonts w:hint="eastAsia" w:cs="宋体"/>
                <w:color w:val="auto"/>
                <w:sz w:val="18"/>
                <w:szCs w:val="18"/>
                <w:highlight w:val="none"/>
              </w:rPr>
            </w:pPr>
            <w:r>
              <w:rPr>
                <w:rFonts w:hint="eastAsia" w:cs="宋体"/>
                <w:color w:val="auto"/>
                <w:sz w:val="18"/>
                <w:szCs w:val="18"/>
                <w:highlight w:val="none"/>
              </w:rPr>
              <w:t xml:space="preserve">14.康复评估：可进行孤独症评估，智力评估，联合瑞文评估，并出示评估报告</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（1）专业化测评</w:t>
            </w:r>
            <w:r/>
          </w:p>
          <w:p>
            <w:pPr>
              <w:ind w:firstLine="360"/>
              <w:jc w:val="left"/>
              <w:widowControl/>
              <w:rPr>
                <w:rFonts w:hint="eastAsia" w:cs="宋体"/>
                <w:color w:val="auto"/>
                <w:sz w:val="18"/>
                <w:szCs w:val="18"/>
                <w:highlight w:val="none"/>
              </w:rPr>
            </w:pPr>
            <w:r>
              <w:rPr>
                <w:rFonts w:hint="eastAsia" w:cs="宋体"/>
                <w:color w:val="auto"/>
                <w:sz w:val="18"/>
                <w:szCs w:val="18"/>
                <w:highlight w:val="none"/>
              </w:rPr>
              <w:t xml:space="preserve">孤独症行为评定量表，适用于18个月~35岁孤独症患者的筛查、辅助诊断。ABC</w:t>
            </w:r>
            <w:r>
              <w:rPr>
                <w:rFonts w:hint="eastAsia" w:cs="宋体"/>
                <w:color w:val="auto"/>
                <w:sz w:val="18"/>
                <w:szCs w:val="18"/>
                <w:highlight w:val="none"/>
                <w:lang w:val="en-US" w:eastAsia="zh-CN"/>
              </w:rPr>
              <w:t xml:space="preserve">量表</w:t>
            </w:r>
            <w:r>
              <w:rPr>
                <w:rFonts w:hint="eastAsia" w:cs="宋体"/>
                <w:color w:val="auto"/>
                <w:sz w:val="18"/>
                <w:szCs w:val="18"/>
                <w:highlight w:val="none"/>
              </w:rPr>
              <w:t xml:space="preserve">共有57个条目，涉及孤独症患者的感觉、行为、情绪、语言、生活自理等多方面的症状，可总结为5个因子：感觉，交往，躯体运动，语言和生活自理能力。</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（2）智能化评估分析</w:t>
            </w:r>
            <w:r/>
          </w:p>
          <w:p>
            <w:pPr>
              <w:ind w:firstLine="360"/>
              <w:jc w:val="left"/>
              <w:widowControl/>
              <w:rPr>
                <w:rFonts w:hint="eastAsia" w:cs="宋体"/>
                <w:color w:val="auto"/>
                <w:sz w:val="18"/>
                <w:szCs w:val="18"/>
                <w:highlight w:val="none"/>
              </w:rPr>
            </w:pPr>
            <w:r>
              <w:rPr>
                <w:rFonts w:hint="eastAsia" w:cs="宋体"/>
                <w:color w:val="auto"/>
                <w:sz w:val="18"/>
                <w:szCs w:val="18"/>
                <w:highlight w:val="none"/>
              </w:rPr>
              <w:t xml:space="preserve">采用人机交互模式，测评过程智能化、自动化，无需人工计分，系统自动保存和处理分析测评结果，生成相应的测评报告，并提供专业可靠的分析和建议；</w:t>
            </w:r>
            <w:r/>
          </w:p>
          <w:p>
            <w:pPr>
              <w:jc w:val="left"/>
              <w:widowControl/>
              <w:rPr>
                <w:rFonts w:hint="eastAsia" w:cs="宋体"/>
                <w:color w:val="auto"/>
                <w:sz w:val="18"/>
                <w:szCs w:val="18"/>
                <w:highlight w:val="none"/>
              </w:rPr>
            </w:pPr>
            <w:r>
              <w:rPr>
                <w:rFonts w:hint="eastAsia" w:cs="宋体"/>
                <w:color w:val="auto"/>
                <w:sz w:val="18"/>
                <w:szCs w:val="18"/>
                <w:highlight w:val="none"/>
              </w:rPr>
              <w:t xml:space="preserve">15.认知训练系统：</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（1）包含不少于图形，颜色，数字，动物，植物，交通，日常，人物，汉字等20项以上的认知类图卡，认知图片库内容总数不少于2000张；</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（2）认知模式：包含闪卡模式，手动模式，图集模式三类认知学习方案；各模式下均可设置认知图片的数量；可设置切换时间；</w:t>
            </w:r>
            <w:r/>
          </w:p>
          <w:p>
            <w:pPr>
              <w:jc w:val="left"/>
              <w:widowControl/>
              <w:rPr>
                <w:rFonts w:hint="eastAsia" w:eastAsia="宋体"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rPr>
              <w:t xml:space="preserve">（3）认知测试：包含图形匹配测试，声音匹配测试和图集测试三类方案；可设置不</w:t>
            </w:r>
            <w:r>
              <w:rPr>
                <w:rFonts w:hint="eastAsia" w:cs="宋体"/>
                <w:color w:val="auto"/>
                <w:sz w:val="18"/>
                <w:szCs w:val="18"/>
                <w:highlight w:val="none"/>
                <w:lang w:val="en-US" w:eastAsia="zh-CN"/>
              </w:rPr>
              <w:t xml:space="preserve">同</w:t>
            </w:r>
            <w:r>
              <w:rPr>
                <w:rFonts w:hint="eastAsia" w:cs="宋体"/>
                <w:color w:val="auto"/>
                <w:sz w:val="18"/>
                <w:szCs w:val="18"/>
                <w:highlight w:val="none"/>
              </w:rPr>
              <w:t xml:space="preserve">难度的测试；可记录错误数和准确率</w:t>
            </w:r>
            <w:r>
              <w:rPr>
                <w:rFonts w:hint="eastAsia" w:cs="宋体"/>
                <w:color w:val="auto"/>
                <w:sz w:val="18"/>
                <w:szCs w:val="18"/>
                <w:highlight w:val="none"/>
                <w:lang w:eastAsia="zh-CN"/>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rPr>
              <w:t xml:space="preserve">16.远程监管：</w:t>
            </w:r>
            <w:r/>
          </w:p>
          <w:p>
            <w:pPr>
              <w:jc w:val="left"/>
              <w:widowControl/>
              <w:rPr>
                <w:rFonts w:hint="eastAsia" w:cs="宋体"/>
                <w:color w:val="auto"/>
                <w:sz w:val="18"/>
                <w:szCs w:val="18"/>
                <w:highlight w:val="none"/>
              </w:rPr>
            </w:pPr>
            <w:r>
              <w:rPr>
                <w:rFonts w:hint="eastAsia" w:cs="宋体"/>
                <w:color w:val="auto"/>
                <w:sz w:val="18"/>
                <w:szCs w:val="18"/>
                <w:highlight w:val="none"/>
              </w:rPr>
              <w:t xml:space="preserve">可通过手机或者PAD终端，控制机器人进行行走和视频监管。</w:t>
            </w:r>
            <w:r/>
          </w:p>
          <w:p>
            <w:pPr>
              <w:jc w:val="left"/>
              <w:widowControl/>
              <w:rPr>
                <w:rFonts w:hint="eastAsia" w:ascii="宋体" w:hAnsi="宋体" w:eastAsia="宋体" w:cs="宋体"/>
                <w:b/>
                <w:bCs/>
                <w:color w:val="auto"/>
                <w:sz w:val="18"/>
                <w:szCs w:val="18"/>
                <w:highlight w:val="none"/>
              </w:rPr>
            </w:pPr>
            <w:r>
              <w:rPr>
                <w:rFonts w:hint="eastAsia" w:cs="宋体"/>
                <w:color w:val="auto"/>
                <w:sz w:val="18"/>
                <w:szCs w:val="18"/>
                <w:highlight w:val="none"/>
                <w:lang w:val="en-US" w:eastAsia="zh-CN"/>
              </w:rPr>
              <w:t xml:space="preserve">注：以上加“▲”标志技术参数，须提供第三方检测机构出具的带有CMA标识的检测报告扫描件。</w:t>
            </w:r>
            <w:r/>
          </w:p>
        </w:tc>
        <w:tc>
          <w:tcPr>
            <w:tcW w:w="675"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1</w:t>
            </w:r>
            <w:r/>
          </w:p>
        </w:tc>
        <w:tc>
          <w:tcPr>
            <w:tcW w:w="583"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台</w:t>
            </w:r>
            <w:r/>
          </w:p>
        </w:tc>
      </w:tr>
      <w:tr>
        <w:trPr>
          <w:jc w:val="center"/>
          <w:trHeight w:val="558"/>
        </w:trPr>
        <w:tc>
          <w:tcPr>
            <w:tcW w:w="564"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3</w:t>
            </w:r>
            <w:r/>
          </w:p>
        </w:tc>
        <w:tc>
          <w:tcPr>
            <w:tcW w:w="770"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rPr>
              <w:t xml:space="preserve">智能训练桌</w:t>
            </w:r>
            <w:r>
              <w:rPr>
                <w:rFonts w:hint="eastAsia" w:cs="宋体"/>
                <w:color w:val="auto"/>
                <w:sz w:val="18"/>
                <w:szCs w:val="18"/>
                <w:highlight w:val="none"/>
                <w:lang w:eastAsia="zh-CN"/>
              </w:rPr>
              <w:t xml:space="preserve">（核心产品）</w:t>
            </w:r>
            <w:r/>
          </w:p>
        </w:tc>
        <w:tc>
          <w:tcPr>
            <w:tcW w:w="6405" w:type="dxa"/>
            <w:vAlign w:val="center"/>
            <w:textDirection w:val="lrTb"/>
            <w:noWrap w:val="false"/>
          </w:tcPr>
          <w:p>
            <w:p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一、</w:t>
            </w:r>
            <w:r>
              <w:rPr>
                <w:rFonts w:hint="eastAsia" w:cs="宋体"/>
                <w:color w:val="auto"/>
                <w:sz w:val="18"/>
                <w:szCs w:val="18"/>
                <w:highlight w:val="none"/>
              </w:rPr>
              <w:t xml:space="preserve">参数要求：</w:t>
            </w:r>
            <w:r/>
          </w:p>
          <w:p>
            <w:pPr>
              <w:jc w:val="left"/>
              <w:widowControl/>
              <w:rPr>
                <w:rFonts w:hint="eastAsia" w:cs="宋体"/>
                <w:color w:val="auto"/>
                <w:sz w:val="18"/>
                <w:szCs w:val="18"/>
                <w:highlight w:val="none"/>
              </w:rPr>
            </w:pPr>
            <w:r>
              <w:rPr>
                <w:rFonts w:hint="eastAsia" w:cs="宋体"/>
                <w:color w:val="auto"/>
                <w:sz w:val="18"/>
                <w:szCs w:val="18"/>
                <w:highlight w:val="none"/>
              </w:rPr>
              <w:t xml:space="preserve">1</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设备整机运行噪音低于28分贝；</w:t>
            </w:r>
            <w:r/>
          </w:p>
          <w:p>
            <w:pPr>
              <w:jc w:val="left"/>
              <w:widowControl/>
              <w:rPr>
                <w:rFonts w:hint="eastAsia" w:cs="宋体"/>
                <w:color w:val="auto"/>
                <w:sz w:val="18"/>
                <w:szCs w:val="18"/>
                <w:highlight w:val="none"/>
              </w:rPr>
            </w:pPr>
            <w:r>
              <w:rPr>
                <w:rFonts w:hint="eastAsia" w:cs="宋体"/>
                <w:color w:val="auto"/>
                <w:sz w:val="18"/>
                <w:szCs w:val="18"/>
                <w:highlight w:val="none"/>
              </w:rPr>
              <w:t xml:space="preserve">2</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一体式设计；</w:t>
            </w:r>
            <w:r/>
          </w:p>
          <w:p>
            <w:pPr>
              <w:jc w:val="left"/>
              <w:widowControl/>
              <w:rPr>
                <w:rFonts w:hint="eastAsia" w:eastAsia="宋体" w:cs="宋体"/>
                <w:color w:val="auto"/>
                <w:sz w:val="18"/>
                <w:szCs w:val="18"/>
                <w:highlight w:val="none"/>
              </w:rPr>
            </w:pPr>
            <w:r>
              <w:rPr>
                <w:rFonts w:hint="eastAsia" w:cs="宋体"/>
                <w:color w:val="auto"/>
                <w:sz w:val="18"/>
                <w:szCs w:val="18"/>
                <w:highlight w:val="none"/>
              </w:rPr>
              <w:t xml:space="preserve">3</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采用42寸高清LED显示屏，儿童人体工程学设计，使儿童操作更加安全舒适</w:t>
            </w:r>
            <w:r>
              <w:rPr>
                <w:rFonts w:hint="eastAsia" w:cs="宋体"/>
                <w:color w:val="auto"/>
                <w:sz w:val="18"/>
                <w:szCs w:val="18"/>
                <w:highlight w:val="none"/>
                <w:lang w:eastAsia="zh-CN"/>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rPr>
              <w:t xml:space="preserve">4</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屏幕比例：16:9；</w:t>
            </w:r>
            <w:r/>
          </w:p>
          <w:p>
            <w:pPr>
              <w:jc w:val="left"/>
              <w:widowControl/>
              <w:rPr>
                <w:rFonts w:hint="eastAsia" w:cs="宋体"/>
                <w:color w:val="auto"/>
                <w:sz w:val="18"/>
                <w:szCs w:val="18"/>
                <w:highlight w:val="none"/>
              </w:rPr>
            </w:pPr>
            <w:r>
              <w:rPr>
                <w:rFonts w:hint="eastAsia" w:cs="宋体"/>
                <w:color w:val="auto"/>
                <w:sz w:val="18"/>
                <w:szCs w:val="18"/>
                <w:highlight w:val="none"/>
              </w:rPr>
              <w:t xml:space="preserve">5</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对比度：10000:1；</w:t>
            </w:r>
            <w:r/>
          </w:p>
          <w:p>
            <w:pPr>
              <w:jc w:val="left"/>
              <w:widowControl/>
              <w:rPr>
                <w:rFonts w:hint="eastAsia" w:cs="宋体"/>
                <w:color w:val="auto"/>
                <w:sz w:val="18"/>
                <w:szCs w:val="18"/>
                <w:highlight w:val="none"/>
              </w:rPr>
            </w:pPr>
            <w:r>
              <w:rPr>
                <w:rFonts w:hint="eastAsia" w:cs="宋体"/>
                <w:color w:val="auto"/>
                <w:sz w:val="18"/>
                <w:szCs w:val="18"/>
                <w:highlight w:val="none"/>
              </w:rPr>
              <w:t xml:space="preserve">6</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响应时间：8ms；</w:t>
            </w:r>
            <w:r/>
          </w:p>
          <w:p>
            <w:pPr>
              <w:jc w:val="left"/>
              <w:widowControl/>
              <w:rPr>
                <w:rFonts w:hint="eastAsia" w:cs="宋体"/>
                <w:color w:val="auto"/>
                <w:sz w:val="18"/>
                <w:szCs w:val="18"/>
                <w:highlight w:val="none"/>
              </w:rPr>
            </w:pPr>
            <w:r>
              <w:rPr>
                <w:rFonts w:hint="eastAsia" w:cs="宋体"/>
                <w:color w:val="auto"/>
                <w:sz w:val="18"/>
                <w:szCs w:val="18"/>
                <w:highlight w:val="none"/>
              </w:rPr>
              <w:t xml:space="preserve">7</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分辨率：1920x1080/60Hz；</w:t>
            </w:r>
            <w:r/>
          </w:p>
          <w:p>
            <w:pPr>
              <w:jc w:val="left"/>
              <w:widowControl/>
              <w:rPr>
                <w:rFonts w:hint="eastAsia" w:cs="宋体"/>
                <w:color w:val="auto"/>
                <w:sz w:val="18"/>
                <w:szCs w:val="18"/>
                <w:highlight w:val="none"/>
              </w:rPr>
            </w:pPr>
            <w:r>
              <w:rPr>
                <w:rFonts w:hint="eastAsia" w:cs="宋体"/>
                <w:color w:val="auto"/>
                <w:sz w:val="18"/>
                <w:szCs w:val="18"/>
                <w:highlight w:val="none"/>
              </w:rPr>
              <w:t xml:space="preserve">8</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扫描频率：50-60Hz；</w:t>
            </w:r>
            <w:r/>
          </w:p>
          <w:p>
            <w:pPr>
              <w:jc w:val="left"/>
              <w:widowControl/>
              <w:rPr>
                <w:rFonts w:hint="eastAsia" w:cs="宋体"/>
                <w:color w:val="auto"/>
                <w:sz w:val="18"/>
                <w:szCs w:val="18"/>
                <w:highlight w:val="none"/>
              </w:rPr>
            </w:pPr>
            <w:r>
              <w:rPr>
                <w:rFonts w:hint="eastAsia" w:cs="宋体"/>
                <w:color w:val="auto"/>
                <w:sz w:val="18"/>
                <w:szCs w:val="18"/>
                <w:highlight w:val="none"/>
              </w:rPr>
              <w:t xml:space="preserve">9</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显示色彩：16.7M；</w:t>
            </w:r>
            <w:r/>
          </w:p>
          <w:p>
            <w:pPr>
              <w:jc w:val="left"/>
              <w:widowControl/>
              <w:rPr>
                <w:rFonts w:hint="eastAsia" w:cs="宋体"/>
                <w:color w:val="auto"/>
                <w:sz w:val="18"/>
                <w:szCs w:val="18"/>
                <w:highlight w:val="none"/>
              </w:rPr>
            </w:pPr>
            <w:r>
              <w:rPr>
                <w:rFonts w:hint="eastAsia" w:cs="宋体"/>
                <w:color w:val="auto"/>
                <w:sz w:val="18"/>
                <w:szCs w:val="18"/>
                <w:highlight w:val="none"/>
              </w:rPr>
              <w:t xml:space="preserve">10</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可视角度：H170/170V160/160；</w:t>
            </w:r>
            <w:r/>
          </w:p>
          <w:p>
            <w:pPr>
              <w:jc w:val="left"/>
              <w:widowControl/>
              <w:rPr>
                <w:rFonts w:hint="eastAsia" w:cs="宋体"/>
                <w:color w:val="auto"/>
                <w:sz w:val="18"/>
                <w:szCs w:val="18"/>
                <w:highlight w:val="none"/>
              </w:rPr>
            </w:pPr>
            <w:r>
              <w:rPr>
                <w:rFonts w:hint="eastAsia" w:cs="宋体"/>
                <w:color w:val="auto"/>
                <w:sz w:val="18"/>
                <w:szCs w:val="18"/>
                <w:highlight w:val="none"/>
              </w:rPr>
              <w:t xml:space="preserve">11</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抗光：日光灯直射下可用；</w:t>
            </w:r>
            <w:r/>
          </w:p>
          <w:p>
            <w:pPr>
              <w:jc w:val="left"/>
              <w:widowControl/>
              <w:rPr>
                <w:rFonts w:hint="eastAsia" w:cs="宋体"/>
                <w:color w:val="auto"/>
                <w:sz w:val="18"/>
                <w:szCs w:val="18"/>
                <w:highlight w:val="none"/>
              </w:rPr>
            </w:pPr>
            <w:r>
              <w:rPr>
                <w:rFonts w:hint="eastAsia" w:cs="宋体"/>
                <w:color w:val="auto"/>
                <w:sz w:val="18"/>
                <w:szCs w:val="18"/>
                <w:highlight w:val="none"/>
              </w:rPr>
              <w:t xml:space="preserve">12</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反应时间：10ms；</w:t>
            </w:r>
            <w:r/>
          </w:p>
          <w:p>
            <w:pPr>
              <w:jc w:val="left"/>
              <w:widowControl/>
              <w:rPr>
                <w:rFonts w:hint="eastAsia" w:cs="宋体"/>
                <w:color w:val="auto"/>
                <w:sz w:val="18"/>
                <w:szCs w:val="18"/>
                <w:highlight w:val="none"/>
              </w:rPr>
            </w:pPr>
            <w:r>
              <w:rPr>
                <w:rFonts w:hint="eastAsia" w:cs="宋体"/>
                <w:color w:val="auto"/>
                <w:sz w:val="18"/>
                <w:szCs w:val="18"/>
                <w:highlight w:val="none"/>
              </w:rPr>
              <w:t xml:space="preserve">13</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抗光性：≥100000LUX；</w:t>
            </w:r>
            <w:r/>
          </w:p>
          <w:p>
            <w:pPr>
              <w:jc w:val="left"/>
              <w:widowControl/>
              <w:rPr>
                <w:rFonts w:hint="eastAsia" w:cs="宋体"/>
                <w:color w:val="auto"/>
                <w:sz w:val="18"/>
                <w:szCs w:val="18"/>
                <w:highlight w:val="none"/>
              </w:rPr>
            </w:pPr>
            <w:r>
              <w:rPr>
                <w:rFonts w:hint="eastAsia" w:cs="宋体"/>
                <w:color w:val="auto"/>
                <w:sz w:val="18"/>
                <w:szCs w:val="18"/>
                <w:highlight w:val="none"/>
              </w:rPr>
              <w:t xml:space="preserve">14</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触摸表面：黑色钢化玻璃；</w:t>
            </w:r>
            <w:r/>
          </w:p>
          <w:p>
            <w:pPr>
              <w:jc w:val="left"/>
              <w:widowControl/>
              <w:rPr>
                <w:rFonts w:hint="eastAsia" w:cs="宋体"/>
                <w:color w:val="auto"/>
                <w:sz w:val="18"/>
                <w:szCs w:val="18"/>
                <w:highlight w:val="none"/>
              </w:rPr>
            </w:pPr>
            <w:r>
              <w:rPr>
                <w:rFonts w:hint="eastAsia" w:cs="宋体"/>
                <w:color w:val="auto"/>
                <w:sz w:val="18"/>
                <w:szCs w:val="18"/>
                <w:highlight w:val="none"/>
              </w:rPr>
              <w:t xml:space="preserve">15</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输入方式：手指；</w:t>
            </w:r>
            <w:r/>
          </w:p>
          <w:p>
            <w:pPr>
              <w:jc w:val="left"/>
              <w:widowControl/>
              <w:rPr>
                <w:rFonts w:hint="eastAsia" w:cs="宋体"/>
                <w:color w:val="auto"/>
                <w:sz w:val="18"/>
                <w:szCs w:val="18"/>
                <w:highlight w:val="none"/>
              </w:rPr>
            </w:pPr>
            <w:r>
              <w:rPr>
                <w:rFonts w:hint="eastAsia" w:cs="宋体"/>
                <w:color w:val="auto"/>
                <w:sz w:val="18"/>
                <w:szCs w:val="18"/>
                <w:highlight w:val="none"/>
              </w:rPr>
              <w:t xml:space="preserve">16</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输入电压范围：AC110-220V；</w:t>
            </w:r>
            <w:r/>
          </w:p>
          <w:p>
            <w:pPr>
              <w:jc w:val="left"/>
              <w:widowControl/>
              <w:rPr>
                <w:rFonts w:hint="eastAsia" w:cs="宋体"/>
                <w:color w:val="auto"/>
                <w:sz w:val="18"/>
                <w:szCs w:val="18"/>
                <w:highlight w:val="none"/>
              </w:rPr>
            </w:pPr>
            <w:r>
              <w:rPr>
                <w:rFonts w:hint="eastAsia" w:cs="宋体"/>
                <w:color w:val="auto"/>
                <w:sz w:val="18"/>
                <w:szCs w:val="18"/>
                <w:highlight w:val="none"/>
              </w:rPr>
              <w:t xml:space="preserve">17</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漂移性：无漂移，不随环境产生变化；</w:t>
            </w:r>
            <w:r/>
          </w:p>
          <w:p>
            <w:pPr>
              <w:jc w:val="left"/>
              <w:widowControl/>
              <w:rPr>
                <w:rFonts w:hint="eastAsia" w:cs="宋体"/>
                <w:color w:val="auto"/>
                <w:sz w:val="18"/>
                <w:szCs w:val="18"/>
                <w:highlight w:val="none"/>
              </w:rPr>
            </w:pPr>
            <w:r>
              <w:rPr>
                <w:rFonts w:hint="eastAsia" w:cs="宋体"/>
                <w:color w:val="auto"/>
                <w:sz w:val="18"/>
                <w:szCs w:val="18"/>
                <w:highlight w:val="none"/>
              </w:rPr>
              <w:t xml:space="preserve">18</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触摸次数：单次点击触摸寿命超过6000万次；</w:t>
            </w:r>
            <w:r/>
          </w:p>
          <w:p>
            <w:pPr>
              <w:jc w:val="left"/>
              <w:widowControl/>
              <w:rPr>
                <w:rFonts w:hint="eastAsia" w:cs="宋体"/>
                <w:color w:val="auto"/>
                <w:sz w:val="18"/>
                <w:szCs w:val="18"/>
                <w:highlight w:val="none"/>
              </w:rPr>
            </w:pPr>
            <w:r>
              <w:rPr>
                <w:rFonts w:hint="eastAsia" w:cs="宋体"/>
                <w:color w:val="auto"/>
                <w:sz w:val="18"/>
                <w:szCs w:val="18"/>
                <w:highlight w:val="none"/>
              </w:rPr>
              <w:t xml:space="preserve">19</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总功率：≤120W；</w:t>
            </w:r>
            <w:r/>
          </w:p>
          <w:p>
            <w:pPr>
              <w:jc w:val="left"/>
              <w:widowControl/>
              <w:rPr>
                <w:rFonts w:hint="eastAsia" w:cs="宋体"/>
                <w:color w:val="auto"/>
                <w:sz w:val="18"/>
                <w:szCs w:val="18"/>
                <w:highlight w:val="none"/>
              </w:rPr>
            </w:pPr>
            <w:r>
              <w:rPr>
                <w:rFonts w:hint="eastAsia" w:cs="宋体"/>
                <w:color w:val="auto"/>
                <w:sz w:val="18"/>
                <w:szCs w:val="18"/>
                <w:highlight w:val="none"/>
              </w:rPr>
              <w:t xml:space="preserve">20</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系统为windows10旗舰版；</w:t>
            </w:r>
            <w:r/>
          </w:p>
          <w:p>
            <w:pPr>
              <w:jc w:val="left"/>
              <w:widowControl/>
              <w:rPr>
                <w:rFonts w:hint="eastAsia" w:eastAsia="宋体" w:cs="宋体"/>
                <w:color w:val="auto"/>
                <w:sz w:val="18"/>
                <w:szCs w:val="18"/>
                <w:highlight w:val="none"/>
              </w:rPr>
            </w:pPr>
            <w:r>
              <w:rPr>
                <w:rFonts w:hint="eastAsia" w:cs="宋体"/>
                <w:color w:val="auto"/>
                <w:sz w:val="18"/>
                <w:szCs w:val="18"/>
                <w:highlight w:val="none"/>
              </w:rPr>
              <w:t xml:space="preserve">21</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软件部分不少于20款训练内容</w:t>
            </w:r>
            <w:r>
              <w:rPr>
                <w:rFonts w:hint="eastAsia" w:cs="宋体"/>
                <w:color w:val="auto"/>
                <w:sz w:val="18"/>
                <w:szCs w:val="18"/>
                <w:highlight w:val="none"/>
                <w:lang w:eastAsia="zh-CN"/>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二、</w:t>
            </w:r>
            <w:r>
              <w:rPr>
                <w:rFonts w:hint="eastAsia" w:cs="宋体"/>
                <w:color w:val="auto"/>
                <w:sz w:val="18"/>
                <w:szCs w:val="18"/>
                <w:highlight w:val="none"/>
              </w:rPr>
              <w:t xml:space="preserve">软件内容包含</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1.</w:t>
            </w:r>
            <w:r>
              <w:rPr>
                <w:rFonts w:hint="eastAsia" w:cs="宋体"/>
                <w:color w:val="auto"/>
                <w:sz w:val="18"/>
                <w:szCs w:val="18"/>
                <w:highlight w:val="none"/>
              </w:rPr>
              <w:t xml:space="preserve">记忆类：包含记忆干扰、瞬时记忆和短时记忆训练；</w:t>
            </w:r>
            <w:r/>
          </w:p>
          <w:p>
            <w:pPr>
              <w:jc w:val="left"/>
              <w:widowControl/>
              <w:rPr>
                <w:rFonts w:hint="eastAsia" w:eastAsia="宋体"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2.</w:t>
            </w:r>
            <w:r>
              <w:rPr>
                <w:rFonts w:hint="eastAsia" w:cs="宋体"/>
                <w:color w:val="auto"/>
                <w:sz w:val="18"/>
                <w:szCs w:val="18"/>
                <w:highlight w:val="none"/>
              </w:rPr>
              <w:t xml:space="preserve">推理思考：训练儿童常识认知、分辨能力、比较能力、听觉记忆、逻辑推理：能根据物体排列组合规律推理出并选择填入符合其逻辑规律的物品，并能选择训练难度。事</w:t>
            </w:r>
            <w:r>
              <w:rPr>
                <w:rFonts w:hint="eastAsia" w:cs="宋体"/>
                <w:color w:val="auto"/>
                <w:sz w:val="18"/>
                <w:szCs w:val="18"/>
                <w:highlight w:val="none"/>
                <w:lang w:val="en-US" w:eastAsia="zh-CN"/>
              </w:rPr>
              <w:t xml:space="preserve">务</w:t>
            </w:r>
            <w:r>
              <w:rPr>
                <w:rFonts w:hint="eastAsia" w:cs="宋体"/>
                <w:color w:val="auto"/>
                <w:sz w:val="18"/>
                <w:szCs w:val="18"/>
                <w:highlight w:val="none"/>
              </w:rPr>
              <w:t xml:space="preserve">联系能力，以及左右脑颜色感知、图形认知、视觉记忆和观察力等多种能力</w:t>
            </w:r>
            <w:r>
              <w:rPr>
                <w:rFonts w:hint="eastAsia" w:cs="宋体"/>
                <w:color w:val="auto"/>
                <w:sz w:val="18"/>
                <w:szCs w:val="18"/>
                <w:highlight w:val="none"/>
                <w:lang w:eastAsia="zh-CN"/>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3.</w:t>
            </w:r>
            <w:r>
              <w:rPr>
                <w:rFonts w:hint="eastAsia" w:cs="宋体"/>
                <w:color w:val="auto"/>
                <w:sz w:val="18"/>
                <w:szCs w:val="18"/>
                <w:highlight w:val="none"/>
              </w:rPr>
              <w:t xml:space="preserve">概念认知：性别分辨及男女厕所认知训练、职业认知训练：包含</w:t>
            </w:r>
            <w:r>
              <w:rPr>
                <w:rFonts w:hint="eastAsia" w:cs="宋体"/>
                <w:color w:val="auto"/>
                <w:sz w:val="18"/>
                <w:szCs w:val="18"/>
                <w:highlight w:val="none"/>
                <w:lang w:val="en-US" w:eastAsia="zh-CN"/>
              </w:rPr>
              <w:t xml:space="preserve">不少于</w:t>
            </w:r>
            <w:r>
              <w:rPr>
                <w:rFonts w:hint="eastAsia" w:cs="宋体"/>
                <w:color w:val="auto"/>
                <w:sz w:val="18"/>
                <w:szCs w:val="18"/>
                <w:highlight w:val="none"/>
              </w:rPr>
              <w:t xml:space="preserve">10种不同职业认知训练，能够将图形与外框形状匹配，能够完整拼成图形某一部分，使其成为一个完整整体；能根据人物职业特征选择其对应场景物品，并伴有职业名称文字及语音介绍。基础认知训练包含：</w:t>
            </w:r>
            <w:r>
              <w:rPr>
                <w:rFonts w:hint="eastAsia" w:cs="宋体"/>
                <w:color w:val="auto"/>
                <w:sz w:val="18"/>
                <w:szCs w:val="18"/>
                <w:highlight w:val="none"/>
                <w:lang w:val="en-US" w:eastAsia="zh-CN"/>
              </w:rPr>
              <w:t xml:space="preserve">例如</w:t>
            </w:r>
            <w:r>
              <w:rPr>
                <w:rFonts w:hint="eastAsia" w:cs="宋体"/>
                <w:color w:val="auto"/>
                <w:sz w:val="18"/>
                <w:szCs w:val="18"/>
                <w:highlight w:val="none"/>
              </w:rPr>
              <w:t xml:space="preserve">水果之家、身体部位、服装店、交通工具、家用电器、厨具餐具、动感蔬菜、生活用品、学习办公、家禽家畜、动物园、食品店12个内容认知项目。日常认知分辨类</w:t>
            </w:r>
            <w:r>
              <w:rPr>
                <w:rFonts w:hint="eastAsia" w:cs="宋体"/>
                <w:color w:val="auto"/>
                <w:sz w:val="18"/>
                <w:szCs w:val="18"/>
                <w:highlight w:val="none"/>
                <w:lang w:val="en-US" w:eastAsia="zh-CN"/>
              </w:rPr>
              <w:t xml:space="preserve">不少于</w:t>
            </w:r>
            <w:r>
              <w:rPr>
                <w:rFonts w:hint="eastAsia" w:cs="宋体"/>
                <w:color w:val="auto"/>
                <w:sz w:val="18"/>
                <w:szCs w:val="18"/>
                <w:highlight w:val="none"/>
              </w:rPr>
              <w:t xml:space="preserve">50项。</w:t>
            </w:r>
            <w:r/>
          </w:p>
          <w:p>
            <w:pPr>
              <w:jc w:val="left"/>
              <w:widowControl/>
              <w:rPr>
                <w:rFonts w:hint="eastAsia" w:eastAsia="宋体"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4.</w:t>
            </w:r>
            <w:r>
              <w:rPr>
                <w:rFonts w:hint="eastAsia" w:cs="宋体"/>
                <w:color w:val="auto"/>
                <w:sz w:val="18"/>
                <w:szCs w:val="18"/>
                <w:highlight w:val="none"/>
              </w:rPr>
              <w:t xml:space="preserve">感知觉训练：感知觉训练通过卡通的训练形式软件完成：对移动物体的注视，水平方向、垂直方向和任意方向的追视，保持目光接触，包含听觉能力训练、视觉能力训练包含：物体追视训练</w:t>
            </w:r>
            <w:r>
              <w:rPr>
                <w:rFonts w:hint="eastAsia" w:cs="宋体"/>
                <w:color w:val="auto"/>
                <w:sz w:val="18"/>
                <w:szCs w:val="18"/>
                <w:highlight w:val="none"/>
                <w:lang w:eastAsia="zh-CN"/>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5.</w:t>
            </w:r>
            <w:r>
              <w:rPr>
                <w:rFonts w:hint="eastAsia" w:cs="宋体"/>
                <w:color w:val="auto"/>
                <w:sz w:val="18"/>
                <w:szCs w:val="18"/>
                <w:highlight w:val="none"/>
              </w:rPr>
              <w:t xml:space="preserve">精细化动作训练：追踪训练，通过手指快速点击，点中时画面伴有震动效果，可提高手臂与大脑的协调能力，反应速度能力；猜球训练，通过物品快速移动训练注意力和记忆能力，杯子可设置移动速度和移动次数。</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6.</w:t>
            </w:r>
            <w:r>
              <w:rPr>
                <w:rFonts w:hint="eastAsia" w:cs="宋体"/>
                <w:color w:val="auto"/>
                <w:sz w:val="18"/>
                <w:szCs w:val="18"/>
                <w:highlight w:val="none"/>
              </w:rPr>
              <w:t xml:space="preserve">感知互动配件：通过训练提升语言表达能力和社会交往能力，提高手眼脑的协调能力，感受角色扮演的乐趣；增强在合作游戏中与同伴的协作能力。</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1</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感知互动玩偶由4根线与木质架操控，主体材料为100%涤纶，超柔短绒。</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2</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外形尺寸（长×宽×高）</w:t>
            </w:r>
            <w:r>
              <w:rPr>
                <w:rFonts w:hint="eastAsia" w:cs="宋体"/>
                <w:color w:val="auto"/>
                <w:sz w:val="18"/>
                <w:szCs w:val="18"/>
                <w:highlight w:val="none"/>
                <w:lang w:eastAsia="zh-CN"/>
              </w:rPr>
              <w:t xml:space="preserve">（</w:t>
            </w:r>
            <w:r>
              <w:rPr>
                <w:rFonts w:hint="eastAsia" w:ascii="微软雅黑" w:hAnsi="微软雅黑" w:eastAsia="微软雅黑" w:cs="微软雅黑"/>
                <w:color w:val="auto"/>
                <w:sz w:val="18"/>
                <w:szCs w:val="18"/>
                <w:highlight w:val="none"/>
                <w:lang w:eastAsia="zh-CN"/>
              </w:rPr>
              <w:t xml:space="preserve">±</w:t>
            </w:r>
            <w:r>
              <w:rPr>
                <w:rFonts w:hint="eastAsia" w:cs="宋体"/>
                <w:color w:val="auto"/>
                <w:sz w:val="18"/>
                <w:szCs w:val="18"/>
                <w:highlight w:val="none"/>
                <w:lang w:val="en-US" w:eastAsia="zh-CN"/>
              </w:rPr>
              <w:t xml:space="preserve">50</w:t>
            </w:r>
            <w:r>
              <w:rPr>
                <w:rFonts w:hint="eastAsia" w:cs="宋体"/>
                <w:color w:val="auto"/>
                <w:sz w:val="18"/>
                <w:szCs w:val="18"/>
                <w:highlight w:val="none"/>
              </w:rPr>
              <w:t xml:space="preserve">mm</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：1000mm×500mm×1000mm。</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3</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产品结构安全合理，承重强度、稳定性、可触及边缘、突出物等物理符合《GB6675.2-2014玩具安全第2部分：机械与物理性能》的标准要求。</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投标文件中</w:t>
            </w:r>
            <w:r>
              <w:rPr>
                <w:rFonts w:hint="eastAsia" w:cs="宋体"/>
                <w:color w:val="auto"/>
                <w:sz w:val="18"/>
                <w:szCs w:val="18"/>
                <w:highlight w:val="none"/>
              </w:rPr>
              <w:t xml:space="preserve">需提供感知互动配件</w:t>
            </w:r>
            <w:r>
              <w:rPr>
                <w:rFonts w:hint="eastAsia" w:cs="宋体"/>
                <w:color w:val="auto"/>
                <w:sz w:val="18"/>
                <w:szCs w:val="18"/>
                <w:highlight w:val="none"/>
                <w:lang w:eastAsia="zh-CN"/>
              </w:rPr>
              <w:t xml:space="preserve">实物彩色图片</w:t>
            </w:r>
            <w:r>
              <w:rPr>
                <w:rFonts w:hint="eastAsia" w:cs="宋体"/>
                <w:color w:val="auto"/>
                <w:sz w:val="18"/>
                <w:szCs w:val="18"/>
                <w:highlight w:val="none"/>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注：以上加“▲”标志技术参数，须提供第三方检测机构出具的带有CMA标识的检测报告扫描件。</w:t>
            </w:r>
            <w:r/>
          </w:p>
        </w:tc>
        <w:tc>
          <w:tcPr>
            <w:tcW w:w="675"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2</w:t>
            </w:r>
            <w:r/>
          </w:p>
        </w:tc>
        <w:tc>
          <w:tcPr>
            <w:tcW w:w="583"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套</w:t>
            </w:r>
            <w:r/>
          </w:p>
        </w:tc>
      </w:tr>
      <w:tr>
        <w:trPr>
          <w:jc w:val="center"/>
          <w:trHeight w:val="558"/>
        </w:trPr>
        <w:tc>
          <w:tcPr>
            <w:tcW w:w="564"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4</w:t>
            </w:r>
            <w:r/>
          </w:p>
        </w:tc>
        <w:tc>
          <w:tcPr>
            <w:tcW w:w="770"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儿童软式圆凳</w:t>
            </w:r>
            <w:r/>
          </w:p>
        </w:tc>
        <w:tc>
          <w:tcPr>
            <w:tcW w:w="6405" w:type="dxa"/>
            <w:vAlign w:val="center"/>
            <w:textDirection w:val="lrTb"/>
            <w:noWrap w:val="false"/>
          </w:tcPr>
          <w:p>
            <w:pPr>
              <w:jc w:val="left"/>
              <w:widowControl/>
              <w:rPr>
                <w:rFonts w:hint="eastAsia" w:cs="宋体"/>
                <w:color w:val="auto"/>
                <w:sz w:val="18"/>
                <w:szCs w:val="18"/>
                <w:highlight w:val="none"/>
              </w:rPr>
            </w:pPr>
            <w:r>
              <w:rPr>
                <w:rFonts w:hint="eastAsia" w:cs="宋体"/>
                <w:color w:val="auto"/>
                <w:sz w:val="18"/>
                <w:szCs w:val="18"/>
                <w:highlight w:val="none"/>
              </w:rPr>
              <w:t xml:space="preserve">PU环保材质,软凳的规格：30×30×40㎝。实木框架，皮质软坐面及靠背。承重200公斤，底部加防滑脚垫。</w:t>
            </w:r>
            <w:r/>
          </w:p>
        </w:tc>
        <w:tc>
          <w:tcPr>
            <w:tcW w:w="675"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4</w:t>
            </w:r>
            <w:r/>
          </w:p>
        </w:tc>
        <w:tc>
          <w:tcPr>
            <w:tcW w:w="583"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个</w:t>
            </w:r>
            <w:r/>
          </w:p>
        </w:tc>
      </w:tr>
      <w:tr>
        <w:trPr>
          <w:jc w:val="center"/>
          <w:trHeight w:val="558"/>
        </w:trPr>
        <w:tc>
          <w:tcPr>
            <w:tcW w:w="564" w:type="dxa"/>
            <w:vAlign w:val="center"/>
            <w:textDirection w:val="lrTb"/>
            <w:noWrap w:val="false"/>
          </w:tcPr>
          <w:p>
            <w:pPr>
              <w:jc w:val="center"/>
              <w:widowControl/>
              <w:rPr>
                <w:rFonts w:hint="default" w:cs="宋体"/>
                <w:color w:val="auto"/>
                <w:sz w:val="18"/>
                <w:szCs w:val="18"/>
                <w:highlight w:val="none"/>
              </w:rPr>
            </w:pPr>
            <w:r>
              <w:rPr>
                <w:rFonts w:hint="eastAsia" w:cs="宋体"/>
                <w:color w:val="auto"/>
                <w:sz w:val="18"/>
                <w:szCs w:val="18"/>
                <w:highlight w:val="none"/>
                <w:lang w:val="en-US" w:eastAsia="zh-CN"/>
              </w:rPr>
              <w:t xml:space="preserve">5</w:t>
            </w:r>
            <w:r/>
          </w:p>
        </w:tc>
        <w:tc>
          <w:tcPr>
            <w:tcW w:w="770" w:type="dxa"/>
            <w:vAlign w:val="center"/>
            <w:textDirection w:val="lrTb"/>
            <w:noWrap w:val="false"/>
          </w:tcPr>
          <w:p>
            <w:p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教具</w:t>
            </w:r>
            <w:r/>
          </w:p>
        </w:tc>
        <w:tc>
          <w:tcPr>
            <w:tcW w:w="6405" w:type="dxa"/>
            <w:vAlign w:val="center"/>
            <w:textDirection w:val="lrTb"/>
            <w:noWrap w:val="false"/>
          </w:tcPr>
          <w:p>
            <w:p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1.</w:t>
            </w:r>
            <w:r>
              <w:rPr>
                <w:rFonts w:hint="eastAsia" w:cs="宋体"/>
                <w:color w:val="auto"/>
                <w:sz w:val="18"/>
                <w:szCs w:val="18"/>
                <w:highlight w:val="none"/>
              </w:rPr>
              <w:t xml:space="preserve">定制实木教具柜，每组规格为：100×120×30cm,不少于5组。安全环保基础上，保证整体的美观性及功能性；</w:t>
            </w:r>
            <w:r/>
          </w:p>
          <w:p>
            <w:pPr>
              <w:jc w:val="left"/>
              <w:widowControl/>
              <w:rPr>
                <w:rFonts w:hint="eastAsia" w:cs="宋体"/>
                <w:color w:val="auto"/>
                <w:sz w:val="18"/>
                <w:szCs w:val="18"/>
                <w:highlight w:val="none"/>
              </w:rPr>
            </w:pPr>
            <w:r>
              <w:rPr>
                <w:rFonts w:hint="eastAsia" w:cs="宋体"/>
                <w:color w:val="auto"/>
                <w:sz w:val="18"/>
                <w:szCs w:val="18"/>
                <w:highlight w:val="none"/>
                <w:lang w:val="en-US" w:eastAsia="zh-CN"/>
              </w:rPr>
              <w:t xml:space="preserve">2.</w:t>
            </w:r>
            <w:r>
              <w:rPr>
                <w:rFonts w:hint="eastAsia" w:cs="宋体"/>
                <w:color w:val="auto"/>
                <w:sz w:val="18"/>
                <w:szCs w:val="18"/>
                <w:highlight w:val="none"/>
              </w:rPr>
              <w:t xml:space="preserve">蒙台梭利教具:88标准件套，材质:榉木及优质椴木。参数见附件1（共88组件）</w:t>
            </w:r>
            <w:r/>
          </w:p>
        </w:tc>
        <w:tc>
          <w:tcPr>
            <w:tcW w:w="675"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1</w:t>
            </w:r>
            <w:r/>
          </w:p>
        </w:tc>
        <w:tc>
          <w:tcPr>
            <w:tcW w:w="583"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套</w:t>
            </w:r>
            <w:r/>
          </w:p>
        </w:tc>
      </w:tr>
      <w:tr>
        <w:trPr>
          <w:jc w:val="center"/>
          <w:trHeight w:val="558"/>
        </w:trPr>
        <w:tc>
          <w:tcPr>
            <w:tcW w:w="564"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6</w:t>
            </w:r>
            <w:r/>
          </w:p>
        </w:tc>
        <w:tc>
          <w:tcPr>
            <w:tcW w:w="770"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电子沙盘</w:t>
            </w:r>
            <w:r/>
          </w:p>
        </w:tc>
        <w:tc>
          <w:tcPr>
            <w:tcW w:w="6405" w:type="dxa"/>
            <w:vAlign w:val="center"/>
            <w:textDirection w:val="lrTb"/>
            <w:noWrap w:val="false"/>
          </w:tcPr>
          <w:p>
            <w:pPr>
              <w:jc w:val="left"/>
              <w:widowControl/>
              <w:rPr>
                <w:rFonts w:hint="eastAsia" w:eastAsia="宋体" w:cs="宋体"/>
                <w:color w:val="auto"/>
                <w:sz w:val="18"/>
                <w:szCs w:val="18"/>
                <w:highlight w:val="none"/>
              </w:rPr>
            </w:pPr>
            <w:r>
              <w:rPr>
                <w:rFonts w:hint="eastAsia" w:cs="宋体"/>
                <w:color w:val="auto"/>
                <w:sz w:val="18"/>
                <w:szCs w:val="18"/>
                <w:highlight w:val="none"/>
              </w:rPr>
              <w:t xml:space="preserve">一、产品</w:t>
            </w:r>
            <w:r>
              <w:rPr>
                <w:rFonts w:hint="eastAsia" w:cs="宋体"/>
                <w:color w:val="auto"/>
                <w:sz w:val="18"/>
                <w:szCs w:val="18"/>
                <w:highlight w:val="none"/>
                <w:lang w:eastAsia="zh-CN"/>
              </w:rPr>
              <w:t xml:space="preserve">需求</w:t>
            </w:r>
            <w:r/>
          </w:p>
          <w:p>
            <w:pPr>
              <w:jc w:val="left"/>
              <w:widowControl/>
              <w:rPr>
                <w:rFonts w:hint="eastAsia" w:cs="宋体"/>
                <w:color w:val="auto"/>
                <w:sz w:val="18"/>
                <w:szCs w:val="18"/>
                <w:highlight w:val="none"/>
              </w:rPr>
            </w:pPr>
            <w:r>
              <w:rPr>
                <w:rFonts w:hint="eastAsia" w:cs="宋体"/>
                <w:color w:val="auto"/>
                <w:sz w:val="18"/>
                <w:szCs w:val="18"/>
                <w:highlight w:val="none"/>
              </w:rPr>
              <w:t xml:space="preserve">1.体验者通过不同的方式触摸沙子</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3D摄像头采集自上而下感应沙面信息</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投影仪显示一系列的动作效果。</w:t>
            </w:r>
            <w:r/>
          </w:p>
          <w:p>
            <w:pPr>
              <w:jc w:val="left"/>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2.体验者</w:t>
            </w:r>
            <w:r>
              <w:rPr>
                <w:rFonts w:hint="eastAsia" w:cs="宋体"/>
                <w:color w:val="auto"/>
                <w:sz w:val="18"/>
                <w:szCs w:val="18"/>
                <w:highlight w:val="none"/>
              </w:rPr>
              <w:t xml:space="preserve">在沙盘中运用沙具来表达自己的无意识世界，不需要过多的语言的参与，直观的显示体验者的内心世界。可以使体验者的"自我自愈力"得以发挥</w:t>
            </w:r>
            <w:r>
              <w:rPr>
                <w:rFonts w:hint="eastAsia" w:cs="宋体"/>
                <w:color w:val="auto"/>
                <w:sz w:val="18"/>
                <w:szCs w:val="18"/>
                <w:highlight w:val="none"/>
                <w:lang w:eastAsia="zh-CN"/>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rPr>
              <w:t xml:space="preserve">3.体验者可以用手或者铲子把沙子塑造成各种形状，形成不同的互动效果。</w:t>
            </w:r>
            <w:r/>
          </w:p>
          <w:p>
            <w:pPr>
              <w:jc w:val="left"/>
              <w:widowControl/>
              <w:rPr>
                <w:rFonts w:hint="eastAsia" w:cs="宋体"/>
                <w:color w:val="auto"/>
                <w:sz w:val="18"/>
                <w:szCs w:val="18"/>
                <w:highlight w:val="none"/>
              </w:rPr>
            </w:pPr>
            <w:r>
              <w:rPr>
                <w:rFonts w:hint="eastAsia" w:cs="宋体"/>
                <w:color w:val="auto"/>
                <w:sz w:val="18"/>
                <w:szCs w:val="18"/>
                <w:highlight w:val="none"/>
              </w:rPr>
              <w:t xml:space="preserve">4.体验者在梦幻的沙桌世界中嬉戏，体验互动沙盘的乐趣，提高耐心和动手能力，感受大自然，了解更多生活常识。</w:t>
            </w:r>
            <w:r>
              <w:rPr>
                <w:rFonts w:hint="eastAsia" w:cs="宋体"/>
                <w:color w:val="auto"/>
                <w:sz w:val="18"/>
                <w:szCs w:val="18"/>
                <w:highlight w:val="none"/>
                <w:lang w:eastAsia="zh-CN"/>
              </w:rPr>
              <w:t xml:space="preserve">比如：</w:t>
            </w:r>
            <w:r>
              <w:rPr>
                <w:rFonts w:hint="eastAsia" w:cs="宋体"/>
                <w:color w:val="auto"/>
                <w:sz w:val="18"/>
                <w:szCs w:val="18"/>
                <w:highlight w:val="none"/>
              </w:rPr>
              <w:t xml:space="preserve">树木被火烧着了，只需用手挖一条沟渠把水引到燃烧的树木那里，这样火就被浇灭了。</w:t>
            </w:r>
            <w:r/>
          </w:p>
          <w:p>
            <w:pPr>
              <w:jc w:val="left"/>
              <w:widowControl/>
              <w:rPr>
                <w:rFonts w:hint="eastAsia" w:eastAsia="宋体" w:cs="宋体"/>
                <w:color w:val="auto"/>
                <w:sz w:val="18"/>
                <w:szCs w:val="18"/>
                <w:highlight w:val="none"/>
              </w:rPr>
            </w:pPr>
            <w:r>
              <w:rPr>
                <w:rFonts w:hint="eastAsia" w:cs="宋体"/>
                <w:color w:val="auto"/>
                <w:sz w:val="18"/>
                <w:szCs w:val="18"/>
                <w:highlight w:val="none"/>
              </w:rPr>
              <w:t xml:space="preserve">二、游戏</w:t>
            </w:r>
            <w:r>
              <w:rPr>
                <w:rFonts w:hint="eastAsia" w:cs="宋体"/>
                <w:color w:val="auto"/>
                <w:sz w:val="18"/>
                <w:szCs w:val="18"/>
                <w:highlight w:val="none"/>
                <w:lang w:eastAsia="zh-CN"/>
              </w:rPr>
              <w:t xml:space="preserve">数量</w:t>
            </w:r>
            <w:r>
              <w:rPr>
                <w:rFonts w:hint="eastAsia" w:cs="宋体"/>
                <w:color w:val="auto"/>
                <w:sz w:val="18"/>
                <w:szCs w:val="18"/>
                <w:highlight w:val="none"/>
              </w:rPr>
              <w:t xml:space="preserve">:</w:t>
            </w:r>
            <w:r>
              <w:rPr>
                <w:rFonts w:hint="eastAsia" w:cs="宋体"/>
                <w:color w:val="auto"/>
                <w:sz w:val="18"/>
                <w:szCs w:val="18"/>
                <w:highlight w:val="none"/>
                <w:lang w:eastAsia="zh-CN"/>
              </w:rPr>
              <w:t xml:space="preserve">不少于十款游戏。</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三</w:t>
            </w:r>
            <w:r>
              <w:rPr>
                <w:rFonts w:hint="eastAsia" w:cs="宋体"/>
                <w:color w:val="auto"/>
                <w:sz w:val="18"/>
                <w:szCs w:val="18"/>
                <w:highlight w:val="none"/>
              </w:rPr>
              <w:t xml:space="preserve">、游戏</w:t>
            </w:r>
            <w:r>
              <w:rPr>
                <w:rFonts w:hint="eastAsia" w:cs="宋体"/>
                <w:color w:val="auto"/>
                <w:sz w:val="18"/>
                <w:szCs w:val="18"/>
                <w:highlight w:val="none"/>
                <w:lang w:eastAsia="zh-CN"/>
              </w:rPr>
              <w:t xml:space="preserve">类型</w:t>
            </w:r>
            <w:r>
              <w:rPr>
                <w:rFonts w:hint="eastAsia" w:cs="宋体"/>
                <w:color w:val="auto"/>
                <w:sz w:val="18"/>
                <w:szCs w:val="18"/>
                <w:highlight w:val="none"/>
              </w:rPr>
              <w:t xml:space="preserve">:</w:t>
            </w:r>
            <w:r>
              <w:rPr>
                <w:rFonts w:hint="eastAsia" w:cs="宋体"/>
                <w:color w:val="auto"/>
                <w:sz w:val="18"/>
                <w:szCs w:val="18"/>
                <w:highlight w:val="none"/>
                <w:lang w:eastAsia="zh-CN"/>
              </w:rPr>
              <w:t xml:space="preserve">沙堆可自由组合，建造不同的自然</w:t>
            </w:r>
            <w:r>
              <w:rPr>
                <w:rFonts w:hint="eastAsia" w:cs="宋体"/>
                <w:color w:val="auto"/>
                <w:sz w:val="18"/>
                <w:szCs w:val="18"/>
                <w:highlight w:val="none"/>
                <w:lang w:val="en-US" w:eastAsia="zh-CN"/>
              </w:rPr>
              <w:t xml:space="preserve">场景</w:t>
            </w:r>
            <w:r>
              <w:rPr>
                <w:rFonts w:hint="eastAsia" w:cs="宋体"/>
                <w:color w:val="auto"/>
                <w:sz w:val="18"/>
                <w:szCs w:val="18"/>
                <w:highlight w:val="none"/>
                <w:lang w:eastAsia="zh-CN"/>
              </w:rPr>
              <w:t xml:space="preserve">：火山爆发、海洋、河流、森林、高山、花海、动物等。例如：</w:t>
            </w:r>
            <w:r>
              <w:rPr>
                <w:rFonts w:hint="eastAsia" w:cs="宋体"/>
                <w:color w:val="auto"/>
                <w:sz w:val="18"/>
                <w:szCs w:val="18"/>
                <w:highlight w:val="none"/>
              </w:rPr>
              <w:t xml:space="preserve">非洲生态系统</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水的流动</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火山活动</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蚂蚁王国</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采集昆虫</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泥滩体验</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发掘化石</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寻找星座</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扑灭山火</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颜料晕染</w:t>
            </w:r>
            <w:r>
              <w:rPr>
                <w:rFonts w:hint="eastAsia" w:cs="宋体"/>
                <w:color w:val="auto"/>
                <w:sz w:val="18"/>
                <w:szCs w:val="18"/>
                <w:highlight w:val="none"/>
                <w:lang w:eastAsia="zh-CN"/>
              </w:rPr>
              <w:t xml:space="preserve">等</w:t>
            </w:r>
            <w:r>
              <w:rPr>
                <w:rFonts w:hint="eastAsia" w:cs="宋体"/>
                <w:color w:val="auto"/>
                <w:sz w:val="18"/>
                <w:szCs w:val="18"/>
                <w:highlight w:val="none"/>
              </w:rPr>
              <w:t xml:space="preserve">。</w:t>
            </w:r>
            <w:r/>
          </w:p>
          <w:p>
            <w:pPr>
              <w:jc w:val="left"/>
              <w:widowControl/>
              <w:rPr>
                <w:rFonts w:hint="eastAsia" w:cs="宋体"/>
                <w:color w:val="auto"/>
                <w:sz w:val="18"/>
                <w:szCs w:val="18"/>
                <w:highlight w:val="none"/>
              </w:rPr>
            </w:pPr>
            <w:r>
              <w:rPr>
                <w:rFonts w:hint="eastAsia" w:cs="宋体"/>
                <w:color w:val="auto"/>
                <w:sz w:val="18"/>
                <w:szCs w:val="18"/>
                <w:highlight w:val="none"/>
                <w:lang w:eastAsia="zh-CN"/>
              </w:rPr>
              <w:t xml:space="preserve">四</w:t>
            </w:r>
            <w:r>
              <w:rPr>
                <w:rFonts w:hint="eastAsia" w:cs="宋体"/>
                <w:color w:val="auto"/>
                <w:sz w:val="18"/>
                <w:szCs w:val="18"/>
                <w:highlight w:val="none"/>
              </w:rPr>
              <w:t xml:space="preserve">、硬件参数</w:t>
            </w:r>
            <w:r/>
          </w:p>
          <w:p>
            <w:pPr>
              <w:jc w:val="left"/>
              <w:widowControl/>
              <w:rPr>
                <w:rFonts w:hint="eastAsia" w:cs="宋体"/>
                <w:color w:val="auto"/>
                <w:sz w:val="18"/>
                <w:szCs w:val="18"/>
                <w:highlight w:val="none"/>
              </w:rPr>
            </w:pPr>
            <w:r>
              <w:rPr>
                <w:rFonts w:hint="eastAsia" w:cs="宋体"/>
                <w:color w:val="auto"/>
                <w:sz w:val="18"/>
                <w:szCs w:val="18"/>
                <w:highlight w:val="none"/>
              </w:rPr>
              <w:t xml:space="preserve">1.底座高度≥45</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5cm,盘面长≥127cm,宽≥97</w:t>
            </w:r>
            <w:r>
              <w:rPr>
                <w:rFonts w:hint="eastAsia" w:cs="宋体"/>
                <w:color w:val="auto"/>
                <w:sz w:val="18"/>
                <w:szCs w:val="18"/>
                <w:highlight w:val="none"/>
                <w:lang w:val="en-US" w:eastAsia="zh-CN"/>
              </w:rPr>
              <w:t xml:space="preserve">.</w:t>
            </w:r>
            <w:r>
              <w:rPr>
                <w:rFonts w:hint="eastAsia" w:cs="宋体"/>
                <w:color w:val="auto"/>
                <w:sz w:val="18"/>
                <w:szCs w:val="18"/>
                <w:highlight w:val="none"/>
              </w:rPr>
              <w:t xml:space="preserve">0cm,高≥15cm；</w:t>
            </w:r>
            <w:r/>
          </w:p>
          <w:p>
            <w:pPr>
              <w:jc w:val="left"/>
              <w:widowControl/>
              <w:rPr>
                <w:rFonts w:hint="eastAsia" w:cs="宋体"/>
                <w:color w:val="auto"/>
                <w:sz w:val="18"/>
                <w:szCs w:val="18"/>
                <w:highlight w:val="none"/>
              </w:rPr>
            </w:pPr>
            <w:r>
              <w:rPr>
                <w:rFonts w:hint="eastAsia" w:cs="宋体"/>
                <w:color w:val="auto"/>
                <w:sz w:val="18"/>
                <w:szCs w:val="18"/>
                <w:highlight w:val="none"/>
              </w:rPr>
              <w:t xml:space="preserve">2.整体重量约40kg；</w:t>
            </w:r>
            <w:r/>
          </w:p>
          <w:p>
            <w:pPr>
              <w:jc w:val="left"/>
              <w:widowControl/>
              <w:rPr>
                <w:rFonts w:hint="eastAsia" w:cs="宋体"/>
                <w:color w:val="auto"/>
                <w:sz w:val="18"/>
                <w:szCs w:val="18"/>
                <w:highlight w:val="none"/>
              </w:rPr>
            </w:pPr>
            <w:r>
              <w:rPr>
                <w:rFonts w:hint="eastAsia" w:cs="宋体"/>
                <w:color w:val="auto"/>
                <w:sz w:val="18"/>
                <w:szCs w:val="18"/>
                <w:highlight w:val="none"/>
              </w:rPr>
              <w:t xml:space="preserve">3.服务器：CPU不低于I3；运行内存：8G+120G；</w:t>
            </w:r>
            <w:r/>
          </w:p>
          <w:p>
            <w:pPr>
              <w:jc w:val="left"/>
              <w:widowControl/>
              <w:rPr>
                <w:rFonts w:hint="eastAsia" w:cs="宋体"/>
                <w:color w:val="auto"/>
                <w:sz w:val="18"/>
                <w:szCs w:val="18"/>
                <w:highlight w:val="none"/>
              </w:rPr>
            </w:pPr>
            <w:r>
              <w:rPr>
                <w:rFonts w:hint="eastAsia" w:cs="宋体"/>
                <w:color w:val="auto"/>
                <w:sz w:val="18"/>
                <w:szCs w:val="18"/>
                <w:highlight w:val="none"/>
              </w:rPr>
              <w:t xml:space="preserve">4.3200流明高亮度投影,光线柔和,不伤眼；</w:t>
            </w:r>
            <w:r/>
          </w:p>
          <w:p>
            <w:pPr>
              <w:jc w:val="left"/>
              <w:widowControl/>
              <w:rPr>
                <w:rFonts w:hint="eastAsia" w:cs="宋体"/>
                <w:color w:val="auto"/>
                <w:sz w:val="18"/>
                <w:szCs w:val="18"/>
                <w:highlight w:val="none"/>
              </w:rPr>
            </w:pPr>
            <w:r>
              <w:rPr>
                <w:rFonts w:hint="eastAsia" w:cs="宋体"/>
                <w:color w:val="auto"/>
                <w:sz w:val="18"/>
                <w:szCs w:val="18"/>
                <w:highlight w:val="none"/>
              </w:rPr>
              <w:t xml:space="preserve">5.整机功耗500w左右,全封闭式；</w:t>
            </w:r>
            <w:r/>
          </w:p>
          <w:p>
            <w:pPr>
              <w:jc w:val="left"/>
              <w:widowControl/>
              <w:rPr>
                <w:rFonts w:hint="eastAsia" w:cs="宋体"/>
                <w:color w:val="auto"/>
                <w:sz w:val="18"/>
                <w:szCs w:val="18"/>
                <w:highlight w:val="none"/>
              </w:rPr>
            </w:pPr>
            <w:r>
              <w:rPr>
                <w:rFonts w:hint="eastAsia" w:cs="宋体"/>
                <w:color w:val="auto"/>
                <w:sz w:val="18"/>
                <w:szCs w:val="18"/>
                <w:highlight w:val="none"/>
              </w:rPr>
              <w:t xml:space="preserve">6.盘面载重300kg,无安全问题；</w:t>
            </w:r>
            <w:r/>
          </w:p>
          <w:p>
            <w:pPr>
              <w:jc w:val="left"/>
              <w:widowControl/>
              <w:rPr>
                <w:rFonts w:hint="eastAsia" w:cs="宋体"/>
                <w:color w:val="auto"/>
                <w:sz w:val="18"/>
                <w:szCs w:val="18"/>
                <w:highlight w:val="none"/>
              </w:rPr>
            </w:pPr>
            <w:r>
              <w:rPr>
                <w:rFonts w:hint="eastAsia" w:cs="宋体"/>
                <w:color w:val="auto"/>
                <w:sz w:val="18"/>
                <w:szCs w:val="18"/>
                <w:highlight w:val="none"/>
              </w:rPr>
              <w:t xml:space="preserve">7.细沙</w:t>
            </w:r>
            <w:r>
              <w:rPr>
                <w:rFonts w:hint="eastAsia" w:cs="宋体"/>
                <w:color w:val="auto"/>
                <w:sz w:val="18"/>
                <w:szCs w:val="18"/>
                <w:highlight w:val="none"/>
                <w:lang w:val="en-US" w:eastAsia="zh-CN"/>
              </w:rPr>
              <w:t xml:space="preserve">为</w:t>
            </w:r>
            <w:r>
              <w:rPr>
                <w:rFonts w:hint="eastAsia" w:cs="宋体"/>
                <w:color w:val="auto"/>
                <w:sz w:val="18"/>
                <w:szCs w:val="18"/>
                <w:highlight w:val="none"/>
              </w:rPr>
              <w:t xml:space="preserve">天然水晶沙,洁白无污染。</w:t>
            </w:r>
            <w:r/>
          </w:p>
        </w:tc>
        <w:tc>
          <w:tcPr>
            <w:tcW w:w="675"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1</w:t>
            </w:r>
            <w:r/>
          </w:p>
        </w:tc>
        <w:tc>
          <w:tcPr>
            <w:tcW w:w="583"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套</w:t>
            </w:r>
            <w:r/>
          </w:p>
        </w:tc>
      </w:tr>
      <w:tr>
        <w:trPr>
          <w:jc w:val="center"/>
          <w:trHeight w:val="558"/>
        </w:trPr>
        <w:tc>
          <w:tcPr>
            <w:tcW w:w="564" w:type="dxa"/>
            <w:vAlign w:val="center"/>
            <w:textDirection w:val="lrTb"/>
            <w:noWrap w:val="false"/>
          </w:tcPr>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7</w:t>
            </w:r>
            <w:r/>
          </w:p>
        </w:tc>
        <w:tc>
          <w:tcPr>
            <w:tcW w:w="770"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环境</w:t>
            </w:r>
            <w:r/>
          </w:p>
          <w:p>
            <w:pPr>
              <w:jc w:val="center"/>
              <w:widowControl/>
              <w:rPr>
                <w:rFonts w:hint="eastAsia" w:eastAsia="宋体" w:cs="宋体"/>
                <w:color w:val="auto"/>
                <w:sz w:val="18"/>
                <w:szCs w:val="18"/>
                <w:highlight w:val="none"/>
              </w:rPr>
            </w:pPr>
            <w:r>
              <w:rPr>
                <w:rFonts w:hint="eastAsia" w:cs="宋体"/>
                <w:color w:val="auto"/>
                <w:sz w:val="18"/>
                <w:szCs w:val="18"/>
                <w:highlight w:val="none"/>
                <w:lang w:val="en-US" w:eastAsia="zh-CN"/>
              </w:rPr>
              <w:t xml:space="preserve">适配</w:t>
            </w:r>
            <w:r/>
          </w:p>
        </w:tc>
        <w:tc>
          <w:tcPr>
            <w:tcW w:w="6405" w:type="dxa"/>
            <w:vAlign w:val="center"/>
            <w:textDirection w:val="lrTb"/>
            <w:noWrap w:val="false"/>
          </w:tcPr>
          <w:p>
            <w:pPr>
              <w:spacing w:after="0" w:line="240" w:lineRule="auto"/>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货物安装前场地墙、吊顶、地面的适配准备：</w:t>
            </w:r>
            <w:r/>
          </w:p>
          <w:p>
            <w:pPr>
              <w:numPr>
                <w:ilvl w:val="0"/>
                <w:numId w:val="0"/>
              </w:numPr>
              <w:spacing w:after="0" w:line="240" w:lineRule="auto"/>
              <w:widowControl/>
              <w:rPr>
                <w:rFonts w:hint="eastAsia" w:ascii="Calibri" w:hAnsi="宋体" w:eastAsia="宋体" w:cs="宋体"/>
                <w:color w:val="auto"/>
                <w:sz w:val="18"/>
                <w:szCs w:val="18"/>
                <w:highlight w:val="none"/>
              </w:rPr>
            </w:pPr>
            <w:r>
              <w:rPr>
                <w:rFonts w:hint="eastAsia" w:ascii="Calibri" w:hAnsi="宋体" w:eastAsia="宋体" w:cs="宋体"/>
                <w:color w:val="auto"/>
                <w:sz w:val="18"/>
                <w:szCs w:val="18"/>
                <w:highlight w:val="none"/>
                <w:lang w:val="en-US" w:eastAsia="zh-CN" w:bidi="ar"/>
              </w:rPr>
              <w:t xml:space="preserve">1.墙面材料要求不低于100平方</w:t>
            </w:r>
            <w:r>
              <w:rPr>
                <w:rFonts w:hint="eastAsia" w:hAnsi="宋体" w:cs="宋体"/>
                <w:color w:val="auto"/>
                <w:sz w:val="18"/>
                <w:szCs w:val="18"/>
                <w:highlight w:val="none"/>
                <w:lang w:val="en-US" w:eastAsia="zh-CN" w:bidi="ar"/>
              </w:rPr>
              <w:t xml:space="preserve">米</w:t>
            </w:r>
            <w:r>
              <w:rPr>
                <w:rFonts w:hint="eastAsia" w:ascii="Calibri" w:hAnsi="宋体" w:eastAsia="宋体" w:cs="宋体"/>
                <w:color w:val="auto"/>
                <w:sz w:val="18"/>
                <w:szCs w:val="18"/>
                <w:highlight w:val="none"/>
                <w:lang w:val="en-US" w:eastAsia="zh-CN" w:bidi="ar"/>
              </w:rPr>
              <w:t xml:space="preserve">，制作异形软包，软包以外区域作萱绒布处理，布面图案可定制。</w:t>
            </w:r>
            <w:r/>
          </w:p>
          <w:p>
            <w:pPr>
              <w:numPr>
                <w:ilvl w:val="0"/>
                <w:numId w:val="0"/>
              </w:numPr>
              <w:spacing w:after="0" w:line="240" w:lineRule="auto"/>
              <w:widowControl/>
              <w:rPr>
                <w:rFonts w:hint="default" w:ascii="Calibri" w:hAnsi="宋体" w:eastAsia="宋体" w:cs="宋体"/>
                <w:color w:val="auto"/>
                <w:sz w:val="18"/>
                <w:szCs w:val="18"/>
                <w:highlight w:val="none"/>
              </w:rPr>
            </w:pPr>
            <w:r>
              <w:rPr>
                <w:rFonts w:hint="eastAsia" w:ascii="Calibri" w:hAnsi="宋体" w:eastAsia="宋体" w:cs="宋体"/>
                <w:color w:val="auto"/>
                <w:sz w:val="18"/>
                <w:szCs w:val="18"/>
                <w:highlight w:val="none"/>
                <w:lang w:val="en-US" w:eastAsia="zh-CN" w:bidi="ar"/>
              </w:rPr>
              <w:t xml:space="preserve">2.地面材料要求不低于5</w:t>
            </w:r>
            <w:r>
              <w:rPr>
                <w:rFonts w:hint="eastAsia" w:ascii="Calibri" w:cs="宋体"/>
                <w:color w:val="auto"/>
                <w:sz w:val="18"/>
                <w:szCs w:val="18"/>
                <w:highlight w:val="none"/>
                <w:lang w:val="en-US" w:eastAsia="zh-CN" w:bidi="ar"/>
              </w:rPr>
              <w:t xml:space="preserve">6</w:t>
            </w:r>
            <w:r>
              <w:rPr>
                <w:rFonts w:hint="eastAsia" w:ascii="Calibri" w:hAnsi="宋体" w:eastAsia="宋体" w:cs="宋体"/>
                <w:color w:val="auto"/>
                <w:sz w:val="18"/>
                <w:szCs w:val="18"/>
                <w:highlight w:val="none"/>
                <w:lang w:val="en-US" w:eastAsia="zh-CN" w:bidi="ar"/>
              </w:rPr>
              <w:t xml:space="preserve">平方</w:t>
            </w:r>
            <w:r>
              <w:rPr>
                <w:rFonts w:hint="eastAsia" w:hAnsi="宋体" w:cs="宋体"/>
                <w:color w:val="auto"/>
                <w:sz w:val="18"/>
                <w:szCs w:val="18"/>
                <w:highlight w:val="none"/>
                <w:lang w:val="en-US" w:eastAsia="zh-CN" w:bidi="ar"/>
              </w:rPr>
              <w:t xml:space="preserve">米</w:t>
            </w:r>
            <w:r>
              <w:rPr>
                <w:rFonts w:hint="eastAsia" w:ascii="Calibri" w:hAnsi="宋体" w:eastAsia="宋体" w:cs="宋体"/>
                <w:color w:val="auto"/>
                <w:sz w:val="18"/>
                <w:szCs w:val="18"/>
                <w:highlight w:val="none"/>
                <w:lang w:val="en-US" w:eastAsia="zh-CN" w:bidi="ar"/>
              </w:rPr>
              <w:t xml:space="preserve">，实木复合地板</w:t>
            </w:r>
            <w:r>
              <w:rPr>
                <w:rFonts w:hint="eastAsia" w:hAnsi="宋体" w:cs="宋体"/>
                <w:color w:val="auto"/>
                <w:sz w:val="18"/>
                <w:szCs w:val="18"/>
                <w:highlight w:val="none"/>
                <w:lang w:val="en-US" w:eastAsia="zh-CN" w:bidi="ar"/>
              </w:rPr>
              <w:t xml:space="preserve">厚度不小于</w:t>
            </w:r>
            <w:r>
              <w:rPr>
                <w:rFonts w:hint="eastAsia" w:ascii="Calibri" w:hAnsi="宋体" w:eastAsia="宋体" w:cs="宋体"/>
                <w:color w:val="auto"/>
                <w:sz w:val="18"/>
                <w:szCs w:val="18"/>
                <w:highlight w:val="none"/>
                <w:lang w:val="en-US" w:eastAsia="zh-CN" w:bidi="ar"/>
              </w:rPr>
              <w:t xml:space="preserve">1</w:t>
            </w:r>
            <w:r>
              <w:rPr>
                <w:rFonts w:hint="eastAsia" w:hAnsi="宋体" w:cs="宋体"/>
                <w:color w:val="auto"/>
                <w:sz w:val="18"/>
                <w:szCs w:val="18"/>
                <w:highlight w:val="none"/>
                <w:lang w:val="en-US" w:eastAsia="zh-CN" w:bidi="ar"/>
              </w:rPr>
              <w:t xml:space="preserve">2</w:t>
            </w:r>
            <w:r>
              <w:rPr>
                <w:rFonts w:hint="eastAsia" w:ascii="Calibri" w:hAnsi="宋体" w:eastAsia="宋体" w:cs="宋体"/>
                <w:color w:val="auto"/>
                <w:sz w:val="18"/>
                <w:szCs w:val="18"/>
                <w:highlight w:val="none"/>
                <w:lang w:val="en-US" w:eastAsia="zh-CN" w:bidi="ar"/>
              </w:rPr>
              <w:t xml:space="preserve">mm，配套压条、防潮膜、地板胶、踢脚线等。</w:t>
            </w:r>
            <w:r/>
          </w:p>
          <w:p>
            <w:pPr>
              <w:numPr>
                <w:ilvl w:val="0"/>
                <w:numId w:val="0"/>
              </w:numPr>
              <w:spacing w:after="0" w:line="240" w:lineRule="auto"/>
              <w:widowControl/>
              <w:rPr>
                <w:rFonts w:hint="eastAsia" w:ascii="Calibri" w:hAnsi="宋体" w:eastAsia="宋体" w:cs="宋体"/>
                <w:color w:val="auto"/>
                <w:sz w:val="18"/>
                <w:szCs w:val="18"/>
                <w:highlight w:val="none"/>
              </w:rPr>
            </w:pPr>
            <w:r>
              <w:rPr>
                <w:rFonts w:hint="eastAsia" w:ascii="Calibri" w:hAnsi="宋体" w:eastAsia="宋体" w:cs="宋体"/>
                <w:color w:val="auto"/>
                <w:sz w:val="18"/>
                <w:szCs w:val="18"/>
                <w:highlight w:val="none"/>
                <w:lang w:val="en-US" w:eastAsia="zh-CN" w:bidi="ar"/>
              </w:rPr>
              <w:t xml:space="preserve">3.吊顶材料不低于56平方</w:t>
            </w:r>
            <w:r>
              <w:rPr>
                <w:rFonts w:hint="eastAsia" w:hAnsi="宋体" w:cs="宋体"/>
                <w:color w:val="auto"/>
                <w:sz w:val="18"/>
                <w:szCs w:val="18"/>
                <w:highlight w:val="none"/>
                <w:lang w:val="en-US" w:eastAsia="zh-CN" w:bidi="ar"/>
              </w:rPr>
              <w:t xml:space="preserve">米</w:t>
            </w:r>
            <w:r>
              <w:rPr>
                <w:rFonts w:hint="eastAsia" w:ascii="Calibri" w:hAnsi="宋体" w:eastAsia="宋体" w:cs="宋体"/>
                <w:color w:val="auto"/>
                <w:sz w:val="18"/>
                <w:szCs w:val="18"/>
                <w:highlight w:val="none"/>
                <w:lang w:val="en-US" w:eastAsia="zh-CN" w:bidi="ar"/>
              </w:rPr>
              <w:t xml:space="preserve">对应的造型吊顶，比如云朵、星空、造型灯具等匹配；电线规格不低于2.5mm²；品牌开关插座不少于10个。</w:t>
            </w:r>
            <w:r/>
          </w:p>
          <w:p>
            <w:pPr>
              <w:numPr>
                <w:ilvl w:val="0"/>
                <w:numId w:val="0"/>
              </w:numPr>
              <w:spacing w:after="0" w:line="240" w:lineRule="auto"/>
              <w:widowControl/>
              <w:rPr>
                <w:rFonts w:hint="eastAsia" w:ascii="Calibri" w:hAnsi="宋体" w:eastAsia="宋体" w:cs="宋体"/>
                <w:color w:val="auto"/>
                <w:sz w:val="18"/>
                <w:szCs w:val="18"/>
                <w:highlight w:val="none"/>
              </w:rPr>
            </w:pPr>
            <w:r>
              <w:rPr>
                <w:rFonts w:hint="eastAsia" w:ascii="Calibri" w:hAnsi="宋体" w:eastAsia="宋体" w:cs="宋体"/>
                <w:color w:val="auto"/>
                <w:sz w:val="18"/>
                <w:szCs w:val="18"/>
                <w:highlight w:val="none"/>
                <w:lang w:val="en-US" w:eastAsia="zh-CN" w:bidi="ar"/>
              </w:rPr>
              <w:t xml:space="preserve">4.网线不低于五类线，最大传输速率不低于100Mbps。</w:t>
            </w:r>
            <w:r/>
          </w:p>
          <w:p>
            <w:pPr>
              <w:numPr>
                <w:ilvl w:val="0"/>
                <w:numId w:val="0"/>
              </w:numPr>
              <w:spacing w:after="0" w:line="240" w:lineRule="auto"/>
              <w:widowControl/>
              <w:rPr>
                <w:rFonts w:hint="eastAsia" w:ascii="Calibri" w:hAnsi="宋体" w:eastAsia="宋体" w:cs="宋体"/>
                <w:color w:val="auto"/>
                <w:sz w:val="18"/>
                <w:szCs w:val="18"/>
                <w:highlight w:val="none"/>
              </w:rPr>
            </w:pPr>
            <w:r>
              <w:rPr>
                <w:rFonts w:hint="eastAsia" w:ascii="Calibri" w:hAnsi="宋体" w:eastAsia="宋体" w:cs="宋体"/>
                <w:color w:val="auto"/>
                <w:sz w:val="18"/>
                <w:szCs w:val="18"/>
                <w:highlight w:val="none"/>
                <w:lang w:val="en-US" w:eastAsia="zh-CN" w:bidi="ar"/>
              </w:rPr>
              <w:t xml:space="preserve">5.</w:t>
            </w:r>
            <w:r>
              <w:rPr>
                <w:rFonts w:hint="eastAsia" w:hAnsi="宋体" w:cs="宋体"/>
                <w:color w:val="auto"/>
                <w:sz w:val="18"/>
                <w:szCs w:val="18"/>
                <w:highlight w:val="none"/>
                <w:lang w:val="en-US" w:eastAsia="zh-CN" w:bidi="ar"/>
              </w:rPr>
              <w:t xml:space="preserve">房间内安装对角监控摄像头</w:t>
            </w:r>
            <w:r>
              <w:rPr>
                <w:rFonts w:hint="eastAsia" w:ascii="Calibri" w:hAnsi="宋体" w:eastAsia="宋体" w:cs="宋体"/>
                <w:color w:val="auto"/>
                <w:sz w:val="18"/>
                <w:szCs w:val="18"/>
                <w:highlight w:val="none"/>
                <w:lang w:val="en-US" w:eastAsia="zh-CN" w:bidi="ar"/>
              </w:rPr>
              <w:t xml:space="preserve">。</w:t>
            </w:r>
            <w:r/>
          </w:p>
          <w:p>
            <w:pPr>
              <w:numPr>
                <w:ilvl w:val="0"/>
                <w:numId w:val="0"/>
              </w:numPr>
              <w:spacing w:after="0" w:line="240" w:lineRule="auto"/>
              <w:widowControl/>
              <w:rPr>
                <w:rFonts w:hint="default" w:ascii="Calibri" w:hAnsi="宋体" w:eastAsia="宋体" w:cs="宋体"/>
                <w:color w:val="auto"/>
                <w:sz w:val="18"/>
                <w:szCs w:val="18"/>
                <w:highlight w:val="none"/>
              </w:rPr>
            </w:pPr>
            <w:r>
              <w:rPr>
                <w:rFonts w:hint="eastAsia" w:ascii="Calibri" w:hAnsi="宋体" w:eastAsia="宋体" w:cs="宋体"/>
                <w:color w:val="auto"/>
                <w:sz w:val="18"/>
                <w:szCs w:val="18"/>
                <w:highlight w:val="none"/>
                <w:lang w:val="en-US" w:eastAsia="zh-CN" w:bidi="ar"/>
              </w:rPr>
              <w:t xml:space="preserve">6.窗帘：纯色棉质布料，固定窗帘挂钩不低于2套（窗户面</w:t>
            </w:r>
            <w:r>
              <w:rPr>
                <w:rFonts w:hint="eastAsia" w:ascii="Calibri" w:cs="宋体"/>
                <w:color w:val="auto"/>
                <w:sz w:val="18"/>
                <w:szCs w:val="18"/>
                <w:highlight w:val="none"/>
                <w:lang w:val="en-US" w:eastAsia="zh-CN" w:bidi="ar"/>
              </w:rPr>
              <w:t xml:space="preserve">宽</w:t>
            </w:r>
            <w:r>
              <w:rPr>
                <w:rFonts w:hint="eastAsia" w:ascii="Calibri" w:hAnsi="宋体" w:eastAsia="宋体" w:cs="宋体"/>
                <w:color w:val="auto"/>
                <w:sz w:val="18"/>
                <w:szCs w:val="18"/>
                <w:highlight w:val="none"/>
                <w:lang w:val="en-US" w:eastAsia="zh-CN" w:bidi="ar"/>
              </w:rPr>
              <w:t xml:space="preserve">8米）。</w:t>
            </w:r>
            <w:r/>
          </w:p>
          <w:p>
            <w:pPr>
              <w:numPr>
                <w:ilvl w:val="0"/>
                <w:numId w:val="0"/>
              </w:numPr>
              <w:spacing w:after="0" w:line="240" w:lineRule="auto"/>
              <w:widowControl/>
              <w:rPr>
                <w:rFonts w:hint="eastAsia" w:ascii="Calibri" w:hAnsi="宋体" w:eastAsia="宋体" w:cs="宋体"/>
                <w:color w:val="auto"/>
                <w:sz w:val="18"/>
                <w:szCs w:val="18"/>
                <w:highlight w:val="none"/>
              </w:rPr>
            </w:pPr>
            <w:r>
              <w:rPr>
                <w:rFonts w:hint="eastAsia" w:ascii="Calibri" w:hAnsi="宋体" w:eastAsia="宋体" w:cs="宋体"/>
                <w:color w:val="auto"/>
                <w:sz w:val="18"/>
                <w:szCs w:val="18"/>
                <w:highlight w:val="none"/>
                <w:lang w:val="en-US" w:eastAsia="zh-CN" w:bidi="ar"/>
              </w:rPr>
              <w:t xml:space="preserve">注：①以上所有材料需满足国家标准及环保标准。</w:t>
            </w:r>
            <w:r/>
          </w:p>
          <w:p>
            <w:pPr>
              <w:numPr>
                <w:ilvl w:val="0"/>
                <w:numId w:val="0"/>
              </w:numPr>
              <w:spacing w:after="0" w:line="240" w:lineRule="auto"/>
              <w:widowControl/>
              <w:rPr>
                <w:rFonts w:hint="eastAsia" w:cs="宋体"/>
                <w:color w:val="auto"/>
                <w:sz w:val="18"/>
                <w:szCs w:val="18"/>
                <w:highlight w:val="none"/>
              </w:rPr>
            </w:pPr>
            <w:r>
              <w:rPr>
                <w:rFonts w:hint="eastAsia" w:ascii="Calibri" w:hAnsi="宋体" w:eastAsia="宋体" w:cs="宋体"/>
                <w:color w:val="auto"/>
                <w:sz w:val="18"/>
                <w:szCs w:val="18"/>
                <w:highlight w:val="none"/>
                <w:lang w:val="en-US" w:eastAsia="zh-CN" w:bidi="ar"/>
              </w:rPr>
              <w:t xml:space="preserve">②软包与布艺均须符合阻燃及环保标准。</w:t>
            </w:r>
            <w:r/>
          </w:p>
        </w:tc>
        <w:tc>
          <w:tcPr>
            <w:tcW w:w="675"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1</w:t>
            </w:r>
            <w:r/>
          </w:p>
        </w:tc>
        <w:tc>
          <w:tcPr>
            <w:tcW w:w="583" w:type="dxa"/>
            <w:vAlign w:val="center"/>
            <w:textDirection w:val="lrTb"/>
            <w:noWrap w:val="false"/>
          </w:tcPr>
          <w:p>
            <w:pPr>
              <w:jc w:val="center"/>
              <w:widowControl/>
              <w:rPr>
                <w:rFonts w:hint="eastAsia" w:cs="宋体"/>
                <w:color w:val="auto"/>
                <w:sz w:val="18"/>
                <w:szCs w:val="18"/>
                <w:highlight w:val="none"/>
              </w:rPr>
            </w:pPr>
            <w:r>
              <w:rPr>
                <w:rFonts w:hint="eastAsia" w:cs="宋体"/>
                <w:color w:val="auto"/>
                <w:sz w:val="18"/>
                <w:szCs w:val="18"/>
                <w:highlight w:val="none"/>
              </w:rPr>
              <w:t xml:space="preserve">项</w:t>
            </w:r>
            <w:r/>
          </w:p>
        </w:tc>
      </w:tr>
    </w:tbl>
    <w:p>
      <w:pPr>
        <w:pStyle w:val="744"/>
        <w:jc w:val="left"/>
        <w:rPr>
          <w:rFonts w:hint="eastAsia"/>
          <w:highlight w:val="none"/>
        </w:rPr>
      </w:pPr>
      <w:r>
        <w:rPr>
          <w:rFonts w:hint="eastAsia"/>
          <w:highlight w:val="none"/>
        </w:rPr>
      </w:r>
      <w:r/>
    </w:p>
    <w:p>
      <w:pPr>
        <w:pStyle w:val="744"/>
        <w:jc w:val="center"/>
        <w:rPr>
          <w:highlight w:val="none"/>
        </w:rPr>
      </w:pPr>
      <w:r>
        <w:rPr>
          <w:rFonts w:hint="eastAsia"/>
          <w:highlight w:val="none"/>
          <w:lang w:val="en-US" w:eastAsia="zh-CN"/>
        </w:rPr>
        <w:t xml:space="preserve">采购包1</w:t>
      </w:r>
      <w:r>
        <w:rPr>
          <w:rFonts w:hint="eastAsia"/>
          <w:highlight w:val="none"/>
        </w:rPr>
        <w:t xml:space="preserve">附件1、蒙台梭利教具清单</w:t>
      </w:r>
      <w:r/>
    </w:p>
    <w:tbl>
      <w:tblPr>
        <w:tblStyle w:val="737"/>
        <w:tblW w:w="8788" w:type="dxa"/>
        <w:jc w:val="center"/>
        <w:tblLayout w:type="fixed"/>
        <w:tblCellMar>
          <w:left w:w="108" w:type="dxa"/>
          <w:top w:w="0" w:type="dxa"/>
          <w:right w:w="108" w:type="dxa"/>
          <w:bottom w:w="0" w:type="dxa"/>
        </w:tblCellMar>
        <w:tblLook w:val="04A0" w:firstRow="1" w:lastRow="0" w:firstColumn="1" w:lastColumn="0" w:noHBand="0" w:noVBand="1"/>
      </w:tblPr>
      <w:tblGrid>
        <w:gridCol w:w="708"/>
        <w:gridCol w:w="1134"/>
        <w:gridCol w:w="690"/>
        <w:gridCol w:w="6256"/>
      </w:tblGrid>
      <w:tr>
        <w:trPr>
          <w:jc w:val="center"/>
          <w:trHeight w:val="45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参数</w:t>
            </w:r>
            <w:r/>
          </w:p>
        </w:tc>
      </w:tr>
      <w:tr>
        <w:trPr>
          <w:jc w:val="center"/>
          <w:trHeight w:val="85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插座圆柱体</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4</w:t>
            </w:r>
            <w:r>
              <w:rPr>
                <w:rFonts w:hint="eastAsia" w:cs="Tahoma"/>
                <w:color w:val="000000"/>
                <w:sz w:val="18"/>
                <w:szCs w:val="18"/>
                <w:highlight w:val="none"/>
              </w:rPr>
              <w:t xml:space="preserve">组圆柱体组成。培养儿童辨别大小、高低、粗  细、深浅的触觉、视觉能力，依圆柱体顺序对应培养逻辑思考敏锐观察能力；把握圆柄可作握笔练习和写字前准备。</w:t>
            </w:r>
            <w:r/>
          </w:p>
        </w:tc>
      </w:tr>
      <w:tr>
        <w:trPr>
          <w:jc w:val="center"/>
          <w:trHeight w:val="93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棕色梯</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10</w:t>
            </w:r>
            <w:r>
              <w:rPr>
                <w:rFonts w:hint="eastAsia" w:cs="Tahoma"/>
                <w:color w:val="000000"/>
                <w:sz w:val="18"/>
                <w:szCs w:val="18"/>
                <w:highlight w:val="none"/>
              </w:rPr>
              <w:t xml:space="preserve">块长方体组成。透过触觉、视觉的辨别在知觉上对等次的差异有充分的认识，发展眼、手、肌肉的动作协调；了解递进、递减的关系；学习长方体的概念；培养逻辑思考（顺序性和专注观察能力</w:t>
            </w:r>
            <w:r/>
          </w:p>
        </w:tc>
      </w:tr>
      <w:tr>
        <w:trPr>
          <w:jc w:val="center"/>
          <w:trHeight w:val="123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粉红塔</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10</w:t>
            </w:r>
            <w:r>
              <w:rPr>
                <w:rFonts w:hint="eastAsia" w:cs="Tahoma"/>
                <w:color w:val="000000"/>
                <w:sz w:val="18"/>
                <w:szCs w:val="18"/>
                <w:highlight w:val="none"/>
              </w:rPr>
              <w:t xml:space="preserve">块立方体组成。透过视觉正确获得对三维空间差别变化的知觉；了解递进、递减的关系；培养立方体的概念、手眼协调</w:t>
            </w:r>
            <w:r>
              <w:rPr>
                <w:rFonts w:hint="eastAsia" w:cs="Tahoma"/>
                <w:sz w:val="18"/>
                <w:szCs w:val="18"/>
                <w:highlight w:val="none"/>
              </w:rPr>
              <w:t xml:space="preserve"> </w:t>
            </w:r>
            <w:r>
              <w:rPr>
                <w:rFonts w:hint="eastAsia" w:cs="Tahoma"/>
                <w:color w:val="000000"/>
                <w:sz w:val="18"/>
                <w:szCs w:val="18"/>
                <w:highlight w:val="none"/>
              </w:rPr>
              <w:t xml:space="preserve">和肌肉运动的控制力；积高时敏锐的观察力；数学教育（理解十进制法）的间接准备；逻辑思考（顺序性）的能力。</w:t>
            </w:r>
            <w:r/>
          </w:p>
        </w:tc>
      </w:tr>
      <w:tr>
        <w:trPr>
          <w:jc w:val="center"/>
          <w:trHeight w:val="106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音桶</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两个木箱中各有</w:t>
            </w:r>
            <w:r>
              <w:rPr>
                <w:rFonts w:hint="eastAsia" w:cs="Tahoma"/>
                <w:sz w:val="18"/>
                <w:szCs w:val="18"/>
                <w:highlight w:val="none"/>
              </w:rPr>
              <w:t xml:space="preserve">6</w:t>
            </w:r>
            <w:r>
              <w:rPr>
                <w:rFonts w:hint="eastAsia" w:cs="Tahoma"/>
                <w:color w:val="000000"/>
                <w:sz w:val="18"/>
                <w:szCs w:val="18"/>
                <w:highlight w:val="none"/>
              </w:rPr>
              <w:t xml:space="preserve">个木制圆筒组成，圆筒内装有石子、沙子、壳类、米粒、米糠等不同材料，摇动时发出强弱不同的声音。培养辨别声音强弱的听觉能力，发展腕部的肌肉运动。</w:t>
            </w:r>
            <w:r/>
          </w:p>
        </w:tc>
      </w:tr>
      <w:tr>
        <w:trPr>
          <w:jc w:val="center"/>
          <w:trHeight w:val="75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温量板</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由金属、石材、木质、地毯片各</w:t>
            </w:r>
            <w:r>
              <w:rPr>
                <w:rFonts w:hint="eastAsia" w:cs="Tahoma"/>
                <w:sz w:val="18"/>
                <w:szCs w:val="18"/>
                <w:highlight w:val="none"/>
              </w:rPr>
              <w:t xml:space="preserve">2</w:t>
            </w:r>
            <w:r>
              <w:rPr>
                <w:rFonts w:hint="eastAsia" w:cs="Tahoma"/>
                <w:color w:val="000000"/>
                <w:sz w:val="18"/>
                <w:szCs w:val="18"/>
                <w:highlight w:val="none"/>
              </w:rPr>
              <w:t xml:space="preserve">块组成，培养对温度的感觉，辨别温度的差异。</w:t>
            </w:r>
            <w:r/>
          </w:p>
        </w:tc>
      </w:tr>
      <w:tr>
        <w:trPr>
          <w:jc w:val="center"/>
          <w:trHeight w:val="72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构成三角形</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5</w:t>
            </w:r>
            <w:r>
              <w:rPr>
                <w:rFonts w:hint="eastAsia" w:cs="Tahoma"/>
                <w:color w:val="000000"/>
                <w:sz w:val="18"/>
                <w:szCs w:val="18"/>
                <w:highlight w:val="none"/>
              </w:rPr>
              <w:t xml:space="preserve">盒不同的三角形块组成。透过视觉认识三角形，通过对多边形的组合与分解了解三角形与多边形的几何关系和相等概念。</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重量板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进口实木</w:t>
            </w:r>
            <w:r>
              <w:rPr>
                <w:rFonts w:hint="eastAsia" w:cs="Tahoma"/>
                <w:sz w:val="18"/>
                <w:szCs w:val="18"/>
                <w:highlight w:val="none"/>
              </w:rPr>
              <w:t xml:space="preserve">6</w:t>
            </w:r>
            <w:r>
              <w:rPr>
                <w:rFonts w:hint="eastAsia" w:cs="Tahoma"/>
                <w:color w:val="000000"/>
                <w:sz w:val="18"/>
                <w:szCs w:val="18"/>
                <w:highlight w:val="none"/>
              </w:rPr>
              <w:t xml:space="preserve">组</w:t>
            </w:r>
            <w:r>
              <w:rPr>
                <w:rFonts w:hint="eastAsia" w:cs="Tahoma"/>
                <w:sz w:val="18"/>
                <w:szCs w:val="18"/>
                <w:highlight w:val="none"/>
              </w:rPr>
              <w:t xml:space="preserve">12</w:t>
            </w:r>
            <w:r>
              <w:rPr>
                <w:rFonts w:hint="eastAsia" w:cs="Tahoma"/>
                <w:color w:val="000000"/>
                <w:sz w:val="18"/>
                <w:szCs w:val="18"/>
                <w:highlight w:val="none"/>
              </w:rPr>
              <w:t xml:space="preserve">个。培养辨别轻重的感觉和判断力。</w:t>
            </w:r>
            <w:r/>
          </w:p>
        </w:tc>
      </w:tr>
      <w:tr>
        <w:trPr>
          <w:jc w:val="center"/>
          <w:trHeight w:val="1024"/>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几何图形嵌板柜</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由几何嵌板操作</w:t>
            </w:r>
            <w:r>
              <w:rPr>
                <w:rFonts w:hint="eastAsia" w:cs="Tahoma"/>
                <w:sz w:val="18"/>
                <w:szCs w:val="18"/>
                <w:highlight w:val="none"/>
              </w:rPr>
              <w:t xml:space="preserve">1</w:t>
            </w:r>
            <w:r>
              <w:rPr>
                <w:rFonts w:hint="eastAsia" w:cs="Tahoma"/>
                <w:color w:val="000000"/>
                <w:sz w:val="18"/>
                <w:szCs w:val="18"/>
                <w:highlight w:val="none"/>
              </w:rPr>
              <w:t xml:space="preserve">个屉、</w:t>
            </w:r>
            <w:r>
              <w:rPr>
                <w:rFonts w:hint="eastAsia" w:cs="Tahoma"/>
                <w:sz w:val="18"/>
                <w:szCs w:val="18"/>
                <w:highlight w:val="none"/>
              </w:rPr>
              <w:t xml:space="preserve">6</w:t>
            </w:r>
            <w:r>
              <w:rPr>
                <w:rFonts w:hint="eastAsia" w:cs="Tahoma"/>
                <w:color w:val="000000"/>
                <w:sz w:val="18"/>
                <w:szCs w:val="18"/>
                <w:highlight w:val="none"/>
              </w:rPr>
              <w:t xml:space="preserve">层几何嵌板橱</w:t>
            </w:r>
            <w:r>
              <w:rPr>
                <w:rFonts w:hint="eastAsia" w:cs="Tahoma"/>
                <w:sz w:val="18"/>
                <w:szCs w:val="18"/>
                <w:highlight w:val="none"/>
              </w:rPr>
              <w:t xml:space="preserve">1</w:t>
            </w:r>
            <w:r>
              <w:rPr>
                <w:rFonts w:hint="eastAsia" w:cs="Tahoma"/>
                <w:color w:val="000000"/>
                <w:sz w:val="18"/>
                <w:szCs w:val="18"/>
                <w:highlight w:val="none"/>
              </w:rPr>
              <w:t xml:space="preserve">个、几何嵌板</w:t>
            </w:r>
            <w:r>
              <w:rPr>
                <w:rFonts w:hint="eastAsia" w:cs="Tahoma"/>
                <w:sz w:val="18"/>
                <w:szCs w:val="18"/>
                <w:highlight w:val="none"/>
              </w:rPr>
              <w:t xml:space="preserve">35</w:t>
            </w:r>
            <w:r>
              <w:rPr>
                <w:rFonts w:hint="eastAsia" w:cs="Tahoma"/>
                <w:color w:val="000000"/>
                <w:sz w:val="18"/>
                <w:szCs w:val="18"/>
                <w:highlight w:val="none"/>
              </w:rPr>
              <w:t xml:space="preserve">块、几何图形卡片</w:t>
            </w:r>
            <w:r>
              <w:rPr>
                <w:rFonts w:hint="eastAsia" w:cs="Tahoma"/>
                <w:sz w:val="18"/>
                <w:szCs w:val="18"/>
                <w:highlight w:val="none"/>
              </w:rPr>
              <w:t xml:space="preserve">99</w:t>
            </w:r>
            <w:r>
              <w:rPr>
                <w:rFonts w:hint="eastAsia" w:cs="Tahoma"/>
                <w:color w:val="000000"/>
                <w:sz w:val="18"/>
                <w:szCs w:val="18"/>
                <w:highlight w:val="none"/>
              </w:rPr>
              <w:t xml:space="preserve">张组成。通过肌肉和触觉的联合，帮助视觉认识平面几何图形；发展手眼协调、注意力和观察力；平面几何学的预备。</w:t>
            </w:r>
            <w:r/>
          </w:p>
        </w:tc>
      </w:tr>
      <w:tr>
        <w:trPr>
          <w:jc w:val="center"/>
          <w:trHeight w:val="884"/>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三项式</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木制立方体和长方体共</w:t>
            </w:r>
            <w:r>
              <w:rPr>
                <w:rFonts w:hint="eastAsia" w:cs="Tahoma"/>
                <w:sz w:val="18"/>
                <w:szCs w:val="18"/>
                <w:highlight w:val="none"/>
              </w:rPr>
              <w:t xml:space="preserve">27</w:t>
            </w:r>
            <w:r>
              <w:rPr>
                <w:rFonts w:hint="eastAsia" w:cs="Tahoma"/>
                <w:color w:val="000000"/>
                <w:sz w:val="18"/>
                <w:szCs w:val="18"/>
                <w:highlight w:val="none"/>
              </w:rPr>
              <w:t xml:space="preserve">块组成。培养视觉对三次元的辨别能力，数学的思考能力，可作为三项式（</w:t>
            </w:r>
            <w:r>
              <w:rPr>
                <w:rFonts w:hint="eastAsia" w:cs="Tahoma"/>
                <w:sz w:val="18"/>
                <w:szCs w:val="18"/>
                <w:highlight w:val="none"/>
              </w:rPr>
              <w:t xml:space="preserve">a+b+c</w:t>
            </w:r>
            <w:r>
              <w:rPr>
                <w:rFonts w:hint="eastAsia" w:cs="Tahoma"/>
                <w:color w:val="000000"/>
                <w:sz w:val="18"/>
                <w:szCs w:val="18"/>
                <w:highlight w:val="none"/>
              </w:rPr>
              <w:t xml:space="preserve">）</w:t>
            </w:r>
            <w:r>
              <w:rPr>
                <w:rFonts w:hint="eastAsia" w:cs="Tahoma"/>
                <w:sz w:val="18"/>
                <w:szCs w:val="18"/>
                <w:highlight w:val="none"/>
              </w:rPr>
              <w:t xml:space="preserve">³</w:t>
            </w:r>
            <w:r>
              <w:rPr>
                <w:rFonts w:hint="eastAsia" w:cs="Tahoma"/>
                <w:color w:val="000000"/>
                <w:sz w:val="18"/>
                <w:szCs w:val="18"/>
                <w:highlight w:val="none"/>
              </w:rPr>
              <w:t xml:space="preserve">的代数教具使用。</w:t>
            </w:r>
            <w:r>
              <w:rPr>
                <w:rFonts w:hint="eastAsia" w:cs="Tahoma"/>
                <w:sz w:val="18"/>
                <w:szCs w:val="18"/>
                <w:highlight w:val="none"/>
              </w:rPr>
              <w:t xml:space="preserve"> (a+b+c)³=a³+3a²b+3a²c+b³+3ab²+3b²c+c³+3ac²+3bc²+6abc</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手眼协调圈</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由5个可组装的锣口木柱和5个麻绳套圈组成，锻炼手眼协调能力。</w:t>
            </w:r>
            <w:r/>
          </w:p>
        </w:tc>
      </w:tr>
      <w:tr>
        <w:trPr>
          <w:jc w:val="center"/>
          <w:trHeight w:val="64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几何体支柱</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个插板盒、</w:t>
            </w:r>
            <w:r>
              <w:rPr>
                <w:rFonts w:hint="eastAsia" w:cs="Tahoma"/>
                <w:sz w:val="18"/>
                <w:szCs w:val="18"/>
                <w:highlight w:val="none"/>
              </w:rPr>
              <w:t xml:space="preserve">3</w:t>
            </w:r>
            <w:r>
              <w:rPr>
                <w:rFonts w:hint="eastAsia" w:cs="Tahoma"/>
                <w:color w:val="000000"/>
                <w:sz w:val="18"/>
                <w:szCs w:val="18"/>
                <w:highlight w:val="none"/>
              </w:rPr>
              <w:t xml:space="preserve">个圆柱、</w:t>
            </w:r>
            <w:r>
              <w:rPr>
                <w:rFonts w:hint="eastAsia" w:cs="Tahoma"/>
                <w:sz w:val="18"/>
                <w:szCs w:val="18"/>
                <w:highlight w:val="none"/>
              </w:rPr>
              <w:t xml:space="preserve">3</w:t>
            </w:r>
            <w:r>
              <w:rPr>
                <w:rFonts w:hint="eastAsia" w:cs="Tahoma"/>
                <w:color w:val="000000"/>
                <w:sz w:val="18"/>
                <w:szCs w:val="18"/>
                <w:highlight w:val="none"/>
              </w:rPr>
              <w:t xml:space="preserve">个三棱柱、</w:t>
            </w:r>
            <w:r>
              <w:rPr>
                <w:rFonts w:hint="eastAsia" w:cs="Tahoma"/>
                <w:sz w:val="18"/>
                <w:szCs w:val="18"/>
                <w:highlight w:val="none"/>
              </w:rPr>
              <w:t xml:space="preserve">3</w:t>
            </w:r>
            <w:r>
              <w:rPr>
                <w:rFonts w:hint="eastAsia" w:cs="Tahoma"/>
                <w:color w:val="000000"/>
                <w:sz w:val="18"/>
                <w:szCs w:val="18"/>
                <w:highlight w:val="none"/>
              </w:rPr>
              <w:t xml:space="preserve">个四方柱组成。培养儿童对实体的感觉，认识几何体特征，可作颜色分类，高</w:t>
            </w:r>
            <w:r>
              <w:rPr>
                <w:rFonts w:hint="eastAsia" w:cs="Tahoma"/>
                <w:sz w:val="18"/>
                <w:szCs w:val="18"/>
                <w:highlight w:val="none"/>
              </w:rPr>
              <w:t xml:space="preserve">-&gt;</w:t>
            </w:r>
            <w:r>
              <w:rPr>
                <w:rFonts w:hint="eastAsia" w:cs="Tahoma"/>
                <w:color w:val="000000"/>
                <w:sz w:val="18"/>
                <w:szCs w:val="18"/>
                <w:highlight w:val="none"/>
              </w:rPr>
              <w:t xml:space="preserve">低比较，排序</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立体四子棋</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由16组64颗棋子组成，分成两组，锻炼观察与逻辑分析能力</w:t>
            </w:r>
            <w:r/>
          </w:p>
        </w:tc>
      </w:tr>
      <w:tr>
        <w:trPr>
          <w:jc w:val="center"/>
          <w:trHeight w:val="60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彩色圆柱</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4</w:t>
            </w:r>
            <w:r>
              <w:rPr>
                <w:rFonts w:hint="eastAsia" w:cs="Tahoma"/>
                <w:color w:val="000000"/>
                <w:sz w:val="18"/>
                <w:szCs w:val="18"/>
                <w:highlight w:val="none"/>
              </w:rPr>
              <w:t xml:space="preserve">盒、每盒</w:t>
            </w:r>
            <w:r>
              <w:rPr>
                <w:rFonts w:hint="eastAsia" w:cs="Tahoma"/>
                <w:sz w:val="18"/>
                <w:szCs w:val="18"/>
                <w:highlight w:val="none"/>
              </w:rPr>
              <w:t xml:space="preserve">10</w:t>
            </w:r>
            <w:r>
              <w:rPr>
                <w:rFonts w:hint="eastAsia" w:cs="Tahoma"/>
                <w:color w:val="000000"/>
                <w:sz w:val="18"/>
                <w:szCs w:val="18"/>
                <w:highlight w:val="none"/>
              </w:rPr>
              <w:t xml:space="preserve">个圆柱组成。培养视觉上识别大小、对应概念，发展手眼动作的协调，手臂肌肉控制力，培养敏锐的观察和注意力。</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长棒</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10</w:t>
            </w:r>
            <w:r>
              <w:rPr>
                <w:rFonts w:hint="eastAsia" w:cs="Tahoma"/>
                <w:color w:val="000000"/>
                <w:sz w:val="18"/>
                <w:szCs w:val="18"/>
                <w:highlight w:val="none"/>
              </w:rPr>
              <w:t xml:space="preserve">根方长棒组成。透过触觉、视觉的辨别，在知觉上对长度的差别有正确的了解，发展手、眼与肌肉的协调性；数学教育（量，基本运算、十进制元、分制系统）的直接准备教具。</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味觉瓶</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8</w:t>
            </w:r>
            <w:r>
              <w:rPr>
                <w:rFonts w:hint="eastAsia" w:cs="Tahoma"/>
                <w:color w:val="000000"/>
                <w:sz w:val="18"/>
                <w:szCs w:val="18"/>
                <w:highlight w:val="none"/>
              </w:rPr>
              <w:t xml:space="preserve">个滴瓶组成。品尝各式味道，培养辨别基本味觉的能力。</w:t>
            </w:r>
            <w:r/>
          </w:p>
        </w:tc>
      </w:tr>
      <w:tr>
        <w:trPr>
          <w:jc w:val="center"/>
          <w:trHeight w:val="90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铁质几何嵌板</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金属几何嵌板是书写能力的直接预备，练习金属嵌板不仅强化三指抓的能力，加强腕肌的协调力，而且透过描绘的练习，更可增强笔触力道的熟练度，重迭描绘不同的几何图形板使图形变化无穷。</w:t>
            </w:r>
            <w:r/>
          </w:p>
        </w:tc>
      </w:tr>
      <w:tr>
        <w:trPr>
          <w:jc w:val="center"/>
          <w:trHeight w:val="111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几何立体组</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包括长方体、正方体、球体、椭球体、卵形体、三角柱、圆柱、圆椎、三角椎、四角椎，另有</w:t>
            </w:r>
            <w:r>
              <w:rPr>
                <w:rFonts w:hint="eastAsia" w:cs="Tahoma"/>
                <w:sz w:val="18"/>
                <w:szCs w:val="18"/>
                <w:highlight w:val="none"/>
              </w:rPr>
              <w:t xml:space="preserve">11</w:t>
            </w:r>
            <w:r>
              <w:rPr>
                <w:rFonts w:hint="eastAsia" w:cs="Tahoma"/>
                <w:color w:val="000000"/>
                <w:sz w:val="18"/>
                <w:szCs w:val="18"/>
                <w:highlight w:val="none"/>
              </w:rPr>
              <w:t xml:space="preserve">枚与上述几何体的一个侧面相等的投影板组成。培养儿童对实体的感觉，认识各种几何体，了解其特征；进入几何学的准备，刺激肌肉的感觉。</w:t>
            </w:r>
            <w:r/>
          </w:p>
        </w:tc>
      </w:tr>
      <w:tr>
        <w:trPr>
          <w:jc w:val="center"/>
          <w:trHeight w:val="69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触觉板</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13</w:t>
            </w:r>
            <w:r>
              <w:rPr>
                <w:rFonts w:hint="eastAsia" w:cs="Tahoma"/>
                <w:color w:val="000000"/>
                <w:sz w:val="18"/>
                <w:szCs w:val="18"/>
                <w:highlight w:val="none"/>
              </w:rPr>
              <w:t xml:space="preserve">块表面粗糙和光滑程度不同的木板组成。培养粗糙与光滑的触觉感和分析、比较的思维能力。</w:t>
            </w:r>
            <w:r/>
          </w:p>
        </w:tc>
      </w:tr>
      <w:tr>
        <w:trPr>
          <w:jc w:val="center"/>
          <w:trHeight w:val="73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19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二项式</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木制立方体和长方体共</w:t>
            </w:r>
            <w:r>
              <w:rPr>
                <w:rFonts w:hint="eastAsia" w:cs="Tahoma"/>
                <w:sz w:val="18"/>
                <w:szCs w:val="18"/>
                <w:highlight w:val="none"/>
              </w:rPr>
              <w:t xml:space="preserve">8</w:t>
            </w:r>
            <w:r>
              <w:rPr>
                <w:rFonts w:hint="eastAsia" w:cs="Tahoma"/>
                <w:color w:val="000000"/>
                <w:sz w:val="18"/>
                <w:szCs w:val="18"/>
                <w:highlight w:val="none"/>
              </w:rPr>
              <w:t xml:space="preserve">块组成。培养视觉对立体空间的认识和数学思考能力，可作为计算体积</w:t>
            </w:r>
            <w:r>
              <w:rPr>
                <w:rFonts w:hint="eastAsia" w:cs="Tahoma"/>
                <w:sz w:val="18"/>
                <w:szCs w:val="18"/>
                <w:highlight w:val="none"/>
              </w:rPr>
              <w:t xml:space="preserve">(a+b)³ </w:t>
            </w:r>
            <w:r>
              <w:rPr>
                <w:rFonts w:hint="eastAsia" w:cs="Tahoma"/>
                <w:color w:val="000000"/>
                <w:sz w:val="18"/>
                <w:szCs w:val="18"/>
                <w:highlight w:val="none"/>
              </w:rPr>
              <w:t xml:space="preserve">的代数教具。</w:t>
            </w:r>
            <w:r>
              <w:rPr>
                <w:rFonts w:hint="eastAsia" w:cs="Tahoma"/>
                <w:sz w:val="18"/>
                <w:szCs w:val="18"/>
                <w:highlight w:val="none"/>
              </w:rPr>
              <w:t xml:space="preserve">(a+b)³=a³+3a²b+3ab²+b³</w:t>
            </w:r>
            <w:r/>
          </w:p>
        </w:tc>
      </w:tr>
      <w:tr>
        <w:trPr>
          <w:jc w:val="center"/>
          <w:trHeight w:val="64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色板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由大、中、小</w:t>
            </w:r>
            <w:r>
              <w:rPr>
                <w:rFonts w:hint="eastAsia" w:cs="Tahoma"/>
                <w:sz w:val="18"/>
                <w:szCs w:val="18"/>
                <w:highlight w:val="none"/>
              </w:rPr>
              <w:t xml:space="preserve">3</w:t>
            </w:r>
            <w:r>
              <w:rPr>
                <w:rFonts w:hint="eastAsia" w:cs="Tahoma"/>
                <w:color w:val="000000"/>
                <w:sz w:val="18"/>
                <w:szCs w:val="18"/>
                <w:highlight w:val="none"/>
              </w:rPr>
              <w:t xml:space="preserve">盒各种颜色的小色板组成。培养分辨颜色的对色彩的美感，颜色的对比及组合的预备。</w:t>
            </w:r>
            <w:r/>
          </w:p>
        </w:tc>
      </w:tr>
      <w:tr>
        <w:trPr>
          <w:jc w:val="center"/>
          <w:trHeight w:val="58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圆圆版</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100</w:t>
            </w:r>
            <w:r>
              <w:rPr>
                <w:rFonts w:hint="eastAsia" w:cs="Tahoma"/>
                <w:color w:val="000000"/>
                <w:sz w:val="18"/>
                <w:szCs w:val="18"/>
                <w:highlight w:val="none"/>
              </w:rPr>
              <w:t xml:space="preserve">个彩色圆组成。可做颜色的排序、对应。</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圆柱体阶梯</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由1个插板，25个高低、颜色不同的圆柱组成。可作颜色分类，高-&gt;低比较，排序。</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嗅觉筒</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通过嗅觉筒的配对操作，训练嗅觉器官辨别各种气味的能力，利用嗅觉器官感知事物的经验。</w:t>
            </w:r>
            <w:r/>
          </w:p>
        </w:tc>
      </w:tr>
      <w:tr>
        <w:trPr>
          <w:jc w:val="center"/>
          <w:trHeight w:val="69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1-100连续数板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儿童将活动数字卡片排列在一定的方格板上，认识</w:t>
            </w:r>
            <w:r>
              <w:rPr>
                <w:rFonts w:hint="eastAsia" w:cs="Tahoma"/>
                <w:sz w:val="18"/>
                <w:szCs w:val="18"/>
                <w:highlight w:val="none"/>
              </w:rPr>
              <w:t xml:space="preserve">1-100</w:t>
            </w:r>
            <w:r>
              <w:rPr>
                <w:rFonts w:hint="eastAsia" w:cs="Tahoma"/>
                <w:color w:val="000000"/>
                <w:sz w:val="18"/>
                <w:szCs w:val="18"/>
                <w:highlight w:val="none"/>
              </w:rPr>
              <w:t xml:space="preserve">的排列并认识数的连续性。</w:t>
            </w:r>
            <w:r/>
          </w:p>
        </w:tc>
      </w:tr>
      <w:tr>
        <w:trPr>
          <w:jc w:val="center"/>
          <w:trHeight w:val="85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数棒</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由从短到长</w:t>
            </w:r>
            <w:r>
              <w:rPr>
                <w:rFonts w:hint="eastAsia" w:cs="Tahoma"/>
                <w:sz w:val="18"/>
                <w:szCs w:val="18"/>
                <w:highlight w:val="none"/>
              </w:rPr>
              <w:t xml:space="preserve">10</w:t>
            </w:r>
            <w:r>
              <w:rPr>
                <w:rFonts w:hint="eastAsia" w:cs="Tahoma"/>
                <w:color w:val="000000"/>
                <w:sz w:val="18"/>
                <w:szCs w:val="18"/>
                <w:highlight w:val="none"/>
              </w:rPr>
              <w:t xml:space="preserve">根红、蓝相同的木棒和从</w:t>
            </w:r>
            <w:r>
              <w:rPr>
                <w:rFonts w:hint="eastAsia" w:cs="Tahoma"/>
                <w:sz w:val="18"/>
                <w:szCs w:val="18"/>
                <w:highlight w:val="none"/>
              </w:rPr>
              <w:t xml:space="preserve">1</w:t>
            </w:r>
            <w:r>
              <w:rPr>
                <w:rFonts w:hint="eastAsia" w:cs="Tahoma"/>
                <w:color w:val="000000"/>
                <w:sz w:val="18"/>
                <w:szCs w:val="18"/>
                <w:highlight w:val="none"/>
              </w:rPr>
              <w:t xml:space="preserve">到</w:t>
            </w:r>
            <w:r>
              <w:rPr>
                <w:rFonts w:hint="eastAsia" w:cs="Tahoma"/>
                <w:sz w:val="18"/>
                <w:szCs w:val="18"/>
                <w:highlight w:val="none"/>
              </w:rPr>
              <w:t xml:space="preserve">10</w:t>
            </w:r>
            <w:r>
              <w:rPr>
                <w:rFonts w:hint="eastAsia" w:cs="Tahoma"/>
                <w:color w:val="000000"/>
                <w:sz w:val="18"/>
                <w:szCs w:val="18"/>
                <w:highlight w:val="none"/>
              </w:rPr>
              <w:t xml:space="preserve">的</w:t>
            </w:r>
            <w:r>
              <w:rPr>
                <w:rFonts w:hint="eastAsia" w:cs="Tahoma"/>
                <w:sz w:val="18"/>
                <w:szCs w:val="18"/>
                <w:highlight w:val="none"/>
              </w:rPr>
              <w:t xml:space="preserve">10</w:t>
            </w:r>
            <w:r>
              <w:rPr>
                <w:rFonts w:hint="eastAsia" w:cs="Tahoma"/>
                <w:color w:val="000000"/>
                <w:sz w:val="18"/>
                <w:szCs w:val="18"/>
                <w:highlight w:val="none"/>
              </w:rPr>
              <w:t xml:space="preserve">块数字片组成。数棒是代表连续</w:t>
            </w:r>
            <w:r>
              <w:rPr>
                <w:rFonts w:hint="eastAsia" w:cs="Tahoma"/>
                <w:sz w:val="18"/>
                <w:szCs w:val="18"/>
                <w:highlight w:val="none"/>
              </w:rPr>
              <w:t xml:space="preserve">“</w:t>
            </w:r>
            <w:r>
              <w:rPr>
                <w:rFonts w:hint="eastAsia" w:cs="Tahoma"/>
                <w:color w:val="000000"/>
                <w:sz w:val="18"/>
                <w:szCs w:val="18"/>
                <w:highlight w:val="none"/>
              </w:rPr>
              <w:t xml:space="preserve">量</w:t>
            </w:r>
            <w:r>
              <w:rPr>
                <w:rFonts w:hint="eastAsia" w:cs="Tahoma"/>
                <w:sz w:val="18"/>
                <w:szCs w:val="18"/>
                <w:highlight w:val="none"/>
              </w:rPr>
              <w:t xml:space="preserve">”</w:t>
            </w:r>
            <w:r>
              <w:rPr>
                <w:rFonts w:hint="eastAsia" w:cs="Tahoma"/>
                <w:color w:val="000000"/>
                <w:sz w:val="18"/>
                <w:szCs w:val="18"/>
                <w:highlight w:val="none"/>
              </w:rPr>
              <w:t xml:space="preserve">的教具。认识、了解数的及数词，记忆</w:t>
            </w:r>
            <w:r>
              <w:rPr>
                <w:rFonts w:hint="eastAsia" w:cs="Tahoma"/>
                <w:sz w:val="18"/>
                <w:szCs w:val="18"/>
                <w:highlight w:val="none"/>
              </w:rPr>
              <w:t xml:space="preserve">1</w:t>
            </w:r>
            <w:r>
              <w:rPr>
                <w:rFonts w:hint="eastAsia" w:cs="Tahoma"/>
                <w:color w:val="000000"/>
                <w:sz w:val="18"/>
                <w:szCs w:val="18"/>
                <w:highlight w:val="none"/>
              </w:rPr>
              <w:t xml:space="preserve">到</w:t>
            </w:r>
            <w:r>
              <w:rPr>
                <w:rFonts w:hint="eastAsia" w:cs="Tahoma"/>
                <w:sz w:val="18"/>
                <w:szCs w:val="18"/>
                <w:highlight w:val="none"/>
              </w:rPr>
              <w:t xml:space="preserve">10</w:t>
            </w:r>
            <w:r>
              <w:rPr>
                <w:rFonts w:hint="eastAsia" w:cs="Tahoma"/>
                <w:color w:val="000000"/>
                <w:sz w:val="18"/>
                <w:szCs w:val="18"/>
                <w:highlight w:val="none"/>
              </w:rPr>
              <w:t xml:space="preserve">，十进制法的预备，导入数的概念</w:t>
            </w:r>
            <w:r/>
          </w:p>
        </w:tc>
      </w:tr>
      <w:tr>
        <w:trPr>
          <w:jc w:val="center"/>
          <w:trHeight w:val="57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26</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二倍数</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7</w:t>
            </w:r>
            <w:r>
              <w:rPr>
                <w:rFonts w:hint="eastAsia" w:cs="Tahoma"/>
                <w:color w:val="000000"/>
                <w:sz w:val="18"/>
                <w:szCs w:val="18"/>
                <w:highlight w:val="none"/>
              </w:rPr>
              <w:t xml:space="preserve">个木块组成。培养</w:t>
            </w:r>
            <w:r>
              <w:rPr>
                <w:rFonts w:hint="eastAsia" w:cs="Tahoma"/>
                <w:sz w:val="18"/>
                <w:szCs w:val="18"/>
                <w:highlight w:val="none"/>
              </w:rPr>
              <w:t xml:space="preserve">2</w:t>
            </w:r>
            <w:r>
              <w:rPr>
                <w:rFonts w:hint="eastAsia" w:cs="Tahoma"/>
                <w:color w:val="000000"/>
                <w:sz w:val="18"/>
                <w:szCs w:val="18"/>
                <w:highlight w:val="none"/>
              </w:rPr>
              <w:t xml:space="preserve">倍的概念，认识简单的倍数关系，导入平方概念。</w:t>
            </w:r>
            <w:r/>
          </w:p>
        </w:tc>
      </w:tr>
      <w:tr>
        <w:trPr>
          <w:jc w:val="center"/>
          <w:trHeight w:val="91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乘除法板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进行得数最大为</w:t>
            </w:r>
            <w:r>
              <w:rPr>
                <w:rFonts w:hint="eastAsia" w:cs="Tahoma"/>
                <w:sz w:val="18"/>
                <w:szCs w:val="18"/>
                <w:highlight w:val="none"/>
              </w:rPr>
              <w:t xml:space="preserve">100</w:t>
            </w:r>
            <w:r>
              <w:rPr>
                <w:rFonts w:hint="eastAsia" w:cs="Tahoma"/>
                <w:color w:val="000000"/>
                <w:sz w:val="18"/>
                <w:szCs w:val="18"/>
                <w:highlight w:val="none"/>
              </w:rPr>
              <w:t xml:space="preserve">的乘法题目，熟练后可导入乘法心算。练习被除数最大为81以内除法题目，从感官上认识平均分配的概念，熟练后可导入除法心算。</w:t>
            </w:r>
            <w:r/>
          </w:p>
        </w:tc>
      </w:tr>
      <w:tr>
        <w:trPr>
          <w:jc w:val="center"/>
          <w:trHeight w:val="105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十进位及银行游戏</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10</w:t>
            </w:r>
            <w:r>
              <w:rPr>
                <w:rFonts w:hint="eastAsia" w:cs="Tahoma"/>
                <w:color w:val="000000"/>
                <w:sz w:val="18"/>
                <w:szCs w:val="18"/>
                <w:highlight w:val="none"/>
              </w:rPr>
              <w:t xml:space="preserve">颗单珠、</w:t>
            </w:r>
            <w:r>
              <w:rPr>
                <w:rFonts w:hint="eastAsia" w:cs="Tahoma"/>
                <w:sz w:val="18"/>
                <w:szCs w:val="18"/>
                <w:highlight w:val="none"/>
              </w:rPr>
              <w:t xml:space="preserve">10</w:t>
            </w:r>
            <w:r>
              <w:rPr>
                <w:rFonts w:hint="eastAsia" w:cs="Tahoma"/>
                <w:color w:val="000000"/>
                <w:sz w:val="18"/>
                <w:szCs w:val="18"/>
                <w:highlight w:val="none"/>
              </w:rPr>
              <w:t xml:space="preserve">根珠棒、</w:t>
            </w:r>
            <w:r>
              <w:rPr>
                <w:rFonts w:hint="eastAsia" w:cs="Tahoma"/>
                <w:sz w:val="18"/>
                <w:szCs w:val="18"/>
                <w:highlight w:val="none"/>
              </w:rPr>
              <w:t xml:space="preserve">10</w:t>
            </w:r>
            <w:r>
              <w:rPr>
                <w:rFonts w:hint="eastAsia" w:cs="Tahoma"/>
                <w:color w:val="000000"/>
                <w:sz w:val="18"/>
                <w:szCs w:val="18"/>
                <w:highlight w:val="none"/>
              </w:rPr>
              <w:t xml:space="preserve">个</w:t>
            </w:r>
            <w:r>
              <w:rPr>
                <w:rFonts w:hint="eastAsia" w:cs="Tahoma"/>
                <w:sz w:val="18"/>
                <w:szCs w:val="18"/>
                <w:highlight w:val="none"/>
              </w:rPr>
              <w:t xml:space="preserve">100</w:t>
            </w:r>
            <w:r>
              <w:rPr>
                <w:rFonts w:hint="eastAsia" w:cs="Tahoma"/>
                <w:color w:val="000000"/>
                <w:sz w:val="18"/>
                <w:szCs w:val="18"/>
                <w:highlight w:val="none"/>
              </w:rPr>
              <w:t xml:space="preserve">珠板、</w:t>
            </w:r>
            <w:r>
              <w:rPr>
                <w:rFonts w:hint="eastAsia" w:cs="Tahoma"/>
                <w:sz w:val="18"/>
                <w:szCs w:val="18"/>
                <w:highlight w:val="none"/>
              </w:rPr>
              <w:t xml:space="preserve">2</w:t>
            </w:r>
            <w:r>
              <w:rPr>
                <w:rFonts w:hint="eastAsia" w:cs="Tahoma"/>
                <w:color w:val="000000"/>
                <w:sz w:val="18"/>
                <w:szCs w:val="18"/>
                <w:highlight w:val="none"/>
              </w:rPr>
              <w:t xml:space="preserve">个</w:t>
            </w:r>
            <w:r>
              <w:rPr>
                <w:rFonts w:hint="eastAsia" w:cs="Tahoma"/>
                <w:sz w:val="18"/>
                <w:szCs w:val="18"/>
                <w:highlight w:val="none"/>
              </w:rPr>
              <w:t xml:space="preserve">1000</w:t>
            </w:r>
            <w:r>
              <w:rPr>
                <w:rFonts w:hint="eastAsia" w:cs="Tahoma"/>
                <w:color w:val="000000"/>
                <w:sz w:val="18"/>
                <w:szCs w:val="18"/>
                <w:highlight w:val="none"/>
              </w:rPr>
              <w:t xml:space="preserve">珠阵、</w:t>
            </w:r>
            <w:r>
              <w:rPr>
                <w:rFonts w:hint="eastAsia" w:cs="Tahoma"/>
                <w:sz w:val="18"/>
                <w:szCs w:val="18"/>
                <w:highlight w:val="none"/>
              </w:rPr>
              <w:t xml:space="preserve">4</w:t>
            </w:r>
            <w:r>
              <w:rPr>
                <w:rFonts w:hint="eastAsia" w:cs="Tahoma"/>
                <w:color w:val="000000"/>
                <w:sz w:val="18"/>
                <w:szCs w:val="18"/>
                <w:highlight w:val="none"/>
              </w:rPr>
              <w:t xml:space="preserve">套数字卡片组成。了解十进制法的排列与形成，学习交换的规则，可做大数目四则运算。</w:t>
            </w:r>
            <w:r/>
          </w:p>
        </w:tc>
      </w:tr>
      <w:tr>
        <w:trPr>
          <w:jc w:val="center"/>
          <w:trHeight w:val="67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29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100串珠链</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sz w:val="18"/>
                <w:szCs w:val="18"/>
                <w:highlight w:val="none"/>
              </w:rPr>
              <w:t xml:space="preserve">由10根（每根10颗珠）珠棒串成一条组成。培养儿童练习1-100以内连续数，并熟悉十进法，培养分析综合能力和独立思维能力。</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三倍数</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用立方体或长方体等实物来显示三倍数之间的关系。</w:t>
            </w:r>
            <w:r/>
          </w:p>
        </w:tc>
      </w:tr>
      <w:tr>
        <w:trPr>
          <w:jc w:val="center"/>
          <w:trHeight w:val="60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黑白串珠棒</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加深了解十以内的数量的概念，体会等量交换的概念，可用于进行加减法运算练习。</w:t>
            </w:r>
            <w:r/>
          </w:p>
        </w:tc>
      </w:tr>
      <w:tr>
        <w:trPr>
          <w:jc w:val="center"/>
          <w:trHeight w:val="64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平方珠链</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由10串珠链（55个珠棒）组成。加强以1为单位的数的连续概念；学习平方的概念；乘算的预备。</w:t>
            </w:r>
            <w:r/>
          </w:p>
        </w:tc>
      </w:tr>
      <w:tr>
        <w:trPr>
          <w:jc w:val="center"/>
          <w:trHeight w:val="100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赛根板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4</w:t>
            </w:r>
            <w:r>
              <w:rPr>
                <w:rFonts w:hint="eastAsia" w:cs="Tahoma"/>
                <w:color w:val="000000"/>
                <w:sz w:val="18"/>
                <w:szCs w:val="18"/>
                <w:highlight w:val="none"/>
              </w:rPr>
              <w:t xml:space="preserve">块板、</w:t>
            </w:r>
            <w:r>
              <w:rPr>
                <w:rFonts w:hint="eastAsia" w:cs="Tahoma"/>
                <w:sz w:val="18"/>
                <w:szCs w:val="18"/>
                <w:highlight w:val="none"/>
              </w:rPr>
              <w:t xml:space="preserve">18</w:t>
            </w:r>
            <w:r>
              <w:rPr>
                <w:rFonts w:hint="eastAsia" w:cs="Tahoma"/>
                <w:color w:val="000000"/>
                <w:sz w:val="18"/>
                <w:szCs w:val="18"/>
                <w:highlight w:val="none"/>
              </w:rPr>
              <w:t xml:space="preserve">块数字片组成。对于</w:t>
            </w:r>
            <w:r>
              <w:rPr>
                <w:rFonts w:hint="eastAsia" w:cs="Tahoma"/>
                <w:sz w:val="18"/>
                <w:szCs w:val="18"/>
                <w:highlight w:val="none"/>
              </w:rPr>
              <w:t xml:space="preserve">11</w:t>
            </w:r>
            <w:r>
              <w:rPr>
                <w:rFonts w:hint="eastAsia" w:cs="Tahoma"/>
                <w:color w:val="000000"/>
                <w:sz w:val="18"/>
                <w:szCs w:val="18"/>
                <w:highlight w:val="none"/>
              </w:rPr>
              <w:t xml:space="preserve">到</w:t>
            </w:r>
            <w:r>
              <w:rPr>
                <w:rFonts w:hint="eastAsia" w:cs="Tahoma"/>
                <w:sz w:val="18"/>
                <w:szCs w:val="18"/>
                <w:highlight w:val="none"/>
              </w:rPr>
              <w:t xml:space="preserve">19</w:t>
            </w:r>
            <w:r>
              <w:rPr>
                <w:rFonts w:hint="eastAsia" w:cs="Tahoma"/>
                <w:color w:val="000000"/>
                <w:sz w:val="18"/>
                <w:szCs w:val="18"/>
                <w:highlight w:val="none"/>
              </w:rPr>
              <w:t xml:space="preserve">的数能正确的做名称练习；能把握连续数的排列，体会连续数的顺序关系；了解</w:t>
            </w:r>
            <w:r>
              <w:rPr>
                <w:rFonts w:hint="eastAsia" w:cs="Tahoma"/>
                <w:sz w:val="18"/>
                <w:szCs w:val="18"/>
                <w:highlight w:val="none"/>
              </w:rPr>
              <w:t xml:space="preserve">10</w:t>
            </w:r>
            <w:r>
              <w:rPr>
                <w:rFonts w:hint="eastAsia" w:cs="Tahoma"/>
                <w:color w:val="000000"/>
                <w:sz w:val="18"/>
                <w:szCs w:val="18"/>
                <w:highlight w:val="none"/>
              </w:rPr>
              <w:t xml:space="preserve">位与个位数的关系；学习量与代表数量的符号（数字）的一致性</w:t>
            </w:r>
            <w:r/>
          </w:p>
        </w:tc>
      </w:tr>
      <w:tr>
        <w:trPr>
          <w:jc w:val="center"/>
          <w:trHeight w:val="76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加减法板</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加数最大为</w:t>
            </w:r>
            <w:r>
              <w:rPr>
                <w:rFonts w:hint="eastAsia" w:cs="Tahoma"/>
                <w:sz w:val="18"/>
                <w:szCs w:val="18"/>
                <w:highlight w:val="none"/>
              </w:rPr>
              <w:t xml:space="preserve">9</w:t>
            </w:r>
            <w:r>
              <w:rPr>
                <w:rFonts w:hint="eastAsia" w:cs="Tahoma"/>
                <w:color w:val="000000"/>
                <w:sz w:val="18"/>
                <w:szCs w:val="18"/>
                <w:highlight w:val="none"/>
              </w:rPr>
              <w:t xml:space="preserve">的加法练习，熟练后可导入加法心算；用于呈现被减数最到为</w:t>
            </w:r>
            <w:r>
              <w:rPr>
                <w:rFonts w:hint="eastAsia" w:cs="Tahoma"/>
                <w:sz w:val="18"/>
                <w:szCs w:val="18"/>
                <w:highlight w:val="none"/>
              </w:rPr>
              <w:t xml:space="preserve">18</w:t>
            </w:r>
            <w:r>
              <w:rPr>
                <w:rFonts w:hint="eastAsia" w:cs="Tahoma"/>
                <w:color w:val="000000"/>
                <w:sz w:val="18"/>
                <w:szCs w:val="18"/>
                <w:highlight w:val="none"/>
              </w:rPr>
              <w:t xml:space="preserve">的减法运算练习，熟练后可导入减法心算。</w:t>
            </w:r>
            <w:r/>
          </w:p>
        </w:tc>
      </w:tr>
      <w:tr>
        <w:trPr>
          <w:jc w:val="center"/>
          <w:trHeight w:val="84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邮票游戏</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幼儿通过银行游戏认识十进制元法以后，即可进入邮票游戏的操作，熟悉数字的转换关系，并进行大数量的四则运算，培养数学思考能力。</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36</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分数小人</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个木座、小人</w:t>
            </w:r>
            <w:r>
              <w:rPr>
                <w:rFonts w:hint="eastAsia" w:cs="Tahoma"/>
                <w:sz w:val="18"/>
                <w:szCs w:val="18"/>
                <w:highlight w:val="none"/>
              </w:rPr>
              <w:t xml:space="preserve">4</w:t>
            </w:r>
            <w:r>
              <w:rPr>
                <w:rFonts w:hint="eastAsia" w:cs="Tahoma"/>
                <w:color w:val="000000"/>
                <w:sz w:val="18"/>
                <w:szCs w:val="18"/>
                <w:highlight w:val="none"/>
              </w:rPr>
              <w:t xml:space="preserve">组</w:t>
            </w:r>
            <w:r>
              <w:rPr>
                <w:rFonts w:hint="eastAsia" w:cs="Tahoma"/>
                <w:sz w:val="18"/>
                <w:szCs w:val="18"/>
                <w:highlight w:val="none"/>
              </w:rPr>
              <w:t xml:space="preserve">10</w:t>
            </w:r>
            <w:r>
              <w:rPr>
                <w:rFonts w:hint="eastAsia" w:cs="Tahoma"/>
                <w:color w:val="000000"/>
                <w:sz w:val="18"/>
                <w:szCs w:val="18"/>
                <w:highlight w:val="none"/>
              </w:rPr>
              <w:t xml:space="preserve">块组成。知道</w:t>
            </w:r>
            <w:r>
              <w:rPr>
                <w:rFonts w:hint="eastAsia" w:cs="Tahoma"/>
                <w:sz w:val="18"/>
                <w:szCs w:val="18"/>
                <w:highlight w:val="none"/>
              </w:rPr>
              <w:t xml:space="preserve">1</w:t>
            </w:r>
            <w:r>
              <w:rPr>
                <w:rFonts w:hint="eastAsia" w:cs="Tahoma"/>
                <w:color w:val="000000"/>
                <w:sz w:val="18"/>
                <w:szCs w:val="18"/>
                <w:highlight w:val="none"/>
              </w:rPr>
              <w:t xml:space="preserve">个整体（</w:t>
            </w:r>
            <w:r>
              <w:rPr>
                <w:rFonts w:hint="eastAsia" w:cs="Tahoma"/>
                <w:sz w:val="18"/>
                <w:szCs w:val="18"/>
                <w:highlight w:val="none"/>
              </w:rPr>
              <w:t xml:space="preserve">=1</w:t>
            </w:r>
            <w:r>
              <w:rPr>
                <w:rFonts w:hint="eastAsia" w:cs="Tahoma"/>
                <w:color w:val="000000"/>
                <w:sz w:val="18"/>
                <w:szCs w:val="18"/>
                <w:highlight w:val="none"/>
              </w:rPr>
              <w:t xml:space="preserve">）如何分成若干部分，作为进入分数的预备。</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立方体</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1000</w:t>
            </w:r>
            <w:r>
              <w:rPr>
                <w:rFonts w:hint="eastAsia" w:cs="Tahoma"/>
                <w:color w:val="000000"/>
                <w:sz w:val="18"/>
                <w:szCs w:val="18"/>
                <w:highlight w:val="none"/>
              </w:rPr>
              <w:t xml:space="preserve">颗边长为</w:t>
            </w:r>
            <w:r>
              <w:rPr>
                <w:rFonts w:hint="eastAsia" w:cs="Tahoma"/>
                <w:sz w:val="18"/>
                <w:szCs w:val="18"/>
                <w:highlight w:val="none"/>
              </w:rPr>
              <w:t xml:space="preserve">1</w:t>
            </w:r>
            <w:r>
              <w:rPr>
                <w:rFonts w:hint="eastAsia" w:cs="Tahoma"/>
                <w:color w:val="000000"/>
                <w:sz w:val="18"/>
                <w:szCs w:val="18"/>
                <w:highlight w:val="none"/>
              </w:rPr>
              <w:t xml:space="preserve">厘米的立方块组成，学习立方的概念</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数字与筹码</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55</w:t>
            </w:r>
            <w:r>
              <w:rPr>
                <w:rFonts w:hint="eastAsia" w:cs="Tahoma"/>
                <w:color w:val="000000"/>
                <w:sz w:val="18"/>
                <w:szCs w:val="18"/>
                <w:highlight w:val="none"/>
              </w:rPr>
              <w:t xml:space="preserve">个圆片，</w:t>
            </w:r>
            <w:r>
              <w:rPr>
                <w:rFonts w:hint="eastAsia" w:cs="Tahoma"/>
                <w:sz w:val="18"/>
                <w:szCs w:val="18"/>
                <w:highlight w:val="none"/>
              </w:rPr>
              <w:t xml:space="preserve">10</w:t>
            </w:r>
            <w:r>
              <w:rPr>
                <w:rFonts w:hint="eastAsia" w:cs="Tahoma"/>
                <w:color w:val="000000"/>
                <w:sz w:val="18"/>
                <w:szCs w:val="18"/>
                <w:highlight w:val="none"/>
              </w:rPr>
              <w:t xml:space="preserve">张</w:t>
            </w:r>
            <w:r>
              <w:rPr>
                <w:rFonts w:hint="eastAsia" w:cs="Tahoma"/>
                <w:sz w:val="18"/>
                <w:szCs w:val="18"/>
                <w:highlight w:val="none"/>
              </w:rPr>
              <w:t xml:space="preserve">1</w:t>
            </w:r>
            <w:r>
              <w:rPr>
                <w:rFonts w:hint="eastAsia" w:cs="Tahoma"/>
                <w:color w:val="000000"/>
                <w:sz w:val="18"/>
                <w:szCs w:val="18"/>
                <w:highlight w:val="none"/>
              </w:rPr>
              <w:t xml:space="preserve">到</w:t>
            </w:r>
            <w:r>
              <w:rPr>
                <w:rFonts w:hint="eastAsia" w:cs="Tahoma"/>
                <w:sz w:val="18"/>
                <w:szCs w:val="18"/>
                <w:highlight w:val="none"/>
              </w:rPr>
              <w:t xml:space="preserve">10</w:t>
            </w:r>
            <w:r>
              <w:rPr>
                <w:rFonts w:hint="eastAsia" w:cs="Tahoma"/>
                <w:color w:val="000000"/>
                <w:sz w:val="18"/>
                <w:szCs w:val="18"/>
                <w:highlight w:val="none"/>
              </w:rPr>
              <w:t xml:space="preserve">数字卡片组成。了解数与量的关系，认识奇数与偶数。</w:t>
            </w:r>
            <w:r/>
          </w:p>
        </w:tc>
      </w:tr>
      <w:tr>
        <w:trPr>
          <w:jc w:val="center"/>
          <w:trHeight w:val="72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39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体积组</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认识整体与部分的关系，建立不同几何立体的体积可以换算的概念，发展儿童对空间的概念。</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灰色串珠棒</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熟悉十以内数量、数位与名称，为学习减法运算做准备。</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砂数字板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0</w:t>
            </w:r>
            <w:r>
              <w:rPr>
                <w:rFonts w:hint="eastAsia" w:cs="Tahoma"/>
                <w:color w:val="000000"/>
                <w:sz w:val="18"/>
                <w:szCs w:val="18"/>
                <w:highlight w:val="none"/>
              </w:rPr>
              <w:t xml:space="preserve">到</w:t>
            </w:r>
            <w:r>
              <w:rPr>
                <w:rFonts w:hint="eastAsia" w:cs="Tahoma"/>
                <w:sz w:val="18"/>
                <w:szCs w:val="18"/>
                <w:highlight w:val="none"/>
              </w:rPr>
              <w:t xml:space="preserve">9</w:t>
            </w:r>
            <w:r>
              <w:rPr>
                <w:rFonts w:hint="eastAsia" w:cs="Tahoma"/>
                <w:color w:val="000000"/>
                <w:sz w:val="18"/>
                <w:szCs w:val="18"/>
                <w:highlight w:val="none"/>
              </w:rPr>
              <w:t xml:space="preserve">数字长板</w:t>
            </w:r>
            <w:r>
              <w:rPr>
                <w:rFonts w:hint="eastAsia" w:cs="Tahoma"/>
                <w:sz w:val="18"/>
                <w:szCs w:val="18"/>
                <w:highlight w:val="none"/>
              </w:rPr>
              <w:t xml:space="preserve">1</w:t>
            </w:r>
            <w:r>
              <w:rPr>
                <w:rFonts w:hint="eastAsia" w:cs="Tahoma"/>
                <w:color w:val="000000"/>
                <w:sz w:val="18"/>
                <w:szCs w:val="18"/>
                <w:highlight w:val="none"/>
              </w:rPr>
              <w:t xml:space="preserve">块，</w:t>
            </w:r>
            <w:r>
              <w:rPr>
                <w:rFonts w:hint="eastAsia" w:cs="Tahoma"/>
                <w:sz w:val="18"/>
                <w:szCs w:val="18"/>
                <w:highlight w:val="none"/>
              </w:rPr>
              <w:t xml:space="preserve">0</w:t>
            </w:r>
            <w:r>
              <w:rPr>
                <w:rFonts w:hint="eastAsia" w:cs="Tahoma"/>
                <w:color w:val="000000"/>
                <w:sz w:val="18"/>
                <w:szCs w:val="18"/>
                <w:highlight w:val="none"/>
              </w:rPr>
              <w:t xml:space="preserve">到</w:t>
            </w:r>
            <w:r>
              <w:rPr>
                <w:rFonts w:hint="eastAsia" w:cs="Tahoma"/>
                <w:sz w:val="18"/>
                <w:szCs w:val="18"/>
                <w:highlight w:val="none"/>
              </w:rPr>
              <w:t xml:space="preserve">9</w:t>
            </w:r>
            <w:r>
              <w:rPr>
                <w:rFonts w:hint="eastAsia" w:cs="Tahoma"/>
                <w:color w:val="000000"/>
                <w:sz w:val="18"/>
                <w:szCs w:val="18"/>
                <w:highlight w:val="none"/>
              </w:rPr>
              <w:t xml:space="preserve">数字单板</w:t>
            </w:r>
            <w:r>
              <w:rPr>
                <w:rFonts w:hint="eastAsia" w:cs="Tahoma"/>
                <w:sz w:val="18"/>
                <w:szCs w:val="18"/>
                <w:highlight w:val="none"/>
              </w:rPr>
              <w:t xml:space="preserve">10</w:t>
            </w:r>
            <w:r>
              <w:rPr>
                <w:rFonts w:hint="eastAsia" w:cs="Tahoma"/>
                <w:color w:val="000000"/>
                <w:sz w:val="18"/>
                <w:szCs w:val="18"/>
                <w:highlight w:val="none"/>
              </w:rPr>
              <w:t xml:space="preserve">块组成。培养认识</w:t>
            </w:r>
            <w:r>
              <w:rPr>
                <w:rFonts w:hint="eastAsia" w:cs="Tahoma"/>
                <w:sz w:val="18"/>
                <w:szCs w:val="18"/>
                <w:highlight w:val="none"/>
              </w:rPr>
              <w:t xml:space="preserve">0</w:t>
            </w:r>
            <w:r>
              <w:rPr>
                <w:rFonts w:hint="eastAsia" w:cs="Tahoma"/>
                <w:color w:val="000000"/>
                <w:sz w:val="18"/>
                <w:szCs w:val="18"/>
                <w:highlight w:val="none"/>
              </w:rPr>
              <w:t xml:space="preserve">到</w:t>
            </w:r>
            <w:r>
              <w:rPr>
                <w:rFonts w:hint="eastAsia" w:cs="Tahoma"/>
                <w:sz w:val="18"/>
                <w:szCs w:val="18"/>
                <w:highlight w:val="none"/>
              </w:rPr>
              <w:t xml:space="preserve">9</w:t>
            </w:r>
            <w:r>
              <w:rPr>
                <w:rFonts w:hint="eastAsia" w:cs="Tahoma"/>
                <w:color w:val="000000"/>
                <w:sz w:val="18"/>
                <w:szCs w:val="18"/>
                <w:highlight w:val="none"/>
              </w:rPr>
              <w:t xml:space="preserve">的数字，练习书写数字，是写前的预备</w:t>
            </w:r>
            <w:r/>
          </w:p>
        </w:tc>
      </w:tr>
      <w:tr>
        <w:trPr>
          <w:jc w:val="center"/>
          <w:trHeight w:val="70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纺锤棒箱</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2</w:t>
            </w:r>
            <w:r>
              <w:rPr>
                <w:rFonts w:hint="eastAsia" w:cs="Tahoma"/>
                <w:color w:val="000000"/>
                <w:sz w:val="18"/>
                <w:szCs w:val="18"/>
                <w:highlight w:val="none"/>
              </w:rPr>
              <w:t xml:space="preserve">个整理箱、</w:t>
            </w:r>
            <w:r>
              <w:rPr>
                <w:rFonts w:hint="eastAsia" w:cs="Tahoma"/>
                <w:sz w:val="18"/>
                <w:szCs w:val="18"/>
                <w:highlight w:val="none"/>
              </w:rPr>
              <w:t xml:space="preserve">45</w:t>
            </w:r>
            <w:r>
              <w:rPr>
                <w:rFonts w:hint="eastAsia" w:cs="Tahoma"/>
                <w:color w:val="000000"/>
                <w:sz w:val="18"/>
                <w:szCs w:val="18"/>
                <w:highlight w:val="none"/>
              </w:rPr>
              <w:t xml:space="preserve">根纺棰棒，</w:t>
            </w:r>
            <w:r>
              <w:rPr>
                <w:rFonts w:hint="eastAsia" w:cs="Tahoma"/>
                <w:sz w:val="18"/>
                <w:szCs w:val="18"/>
                <w:highlight w:val="none"/>
              </w:rPr>
              <w:t xml:space="preserve">10</w:t>
            </w:r>
            <w:r>
              <w:rPr>
                <w:rFonts w:hint="eastAsia" w:cs="Tahoma"/>
                <w:color w:val="000000"/>
                <w:sz w:val="18"/>
                <w:szCs w:val="18"/>
                <w:highlight w:val="none"/>
              </w:rPr>
              <w:t xml:space="preserve">块数字片组成。指导</w:t>
            </w:r>
            <w:r>
              <w:rPr>
                <w:rFonts w:hint="eastAsia" w:cs="Tahoma"/>
                <w:sz w:val="18"/>
                <w:szCs w:val="18"/>
                <w:highlight w:val="none"/>
              </w:rPr>
              <w:t xml:space="preserve">0</w:t>
            </w:r>
            <w:r>
              <w:rPr>
                <w:rFonts w:hint="eastAsia" w:cs="Tahoma"/>
                <w:color w:val="000000"/>
                <w:sz w:val="18"/>
                <w:szCs w:val="18"/>
                <w:highlight w:val="none"/>
              </w:rPr>
              <w:t xml:space="preserve">的概念，加强数与量集合的概念。</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加减乘除矩阵盘</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由10檔彩色算珠组成，每檔10个算珠，学习加减乘除。</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数数棒</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学习</w:t>
            </w:r>
            <w:r>
              <w:rPr>
                <w:rFonts w:hint="eastAsia" w:cs="Tahoma"/>
                <w:sz w:val="18"/>
                <w:szCs w:val="18"/>
                <w:highlight w:val="none"/>
              </w:rPr>
              <w:t xml:space="preserve">0-10</w:t>
            </w:r>
            <w:r>
              <w:rPr>
                <w:rFonts w:hint="eastAsia" w:cs="Tahoma"/>
                <w:color w:val="000000"/>
                <w:sz w:val="18"/>
                <w:szCs w:val="18"/>
                <w:highlight w:val="none"/>
              </w:rPr>
              <w:t xml:space="preserve">的概念、</w:t>
            </w:r>
            <w:r>
              <w:rPr>
                <w:rFonts w:hint="eastAsia" w:cs="Tahoma"/>
                <w:sz w:val="18"/>
                <w:szCs w:val="18"/>
                <w:highlight w:val="none"/>
              </w:rPr>
              <w:t xml:space="preserve">10</w:t>
            </w:r>
            <w:r>
              <w:rPr>
                <w:rFonts w:hint="eastAsia" w:cs="Tahoma"/>
                <w:color w:val="000000"/>
                <w:sz w:val="18"/>
                <w:szCs w:val="18"/>
                <w:highlight w:val="none"/>
              </w:rPr>
              <w:t xml:space="preserve">以内的加减法</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彩色小数棒</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学习</w:t>
            </w:r>
            <w:r>
              <w:rPr>
                <w:rFonts w:hint="eastAsia" w:cs="Tahoma"/>
                <w:sz w:val="18"/>
                <w:szCs w:val="18"/>
                <w:highlight w:val="none"/>
              </w:rPr>
              <w:t xml:space="preserve">0-10</w:t>
            </w:r>
            <w:r>
              <w:rPr>
                <w:rFonts w:hint="eastAsia" w:cs="Tahoma"/>
                <w:color w:val="000000"/>
                <w:sz w:val="18"/>
                <w:szCs w:val="18"/>
                <w:highlight w:val="none"/>
              </w:rPr>
              <w:t xml:space="preserve">的概念、</w:t>
            </w:r>
            <w:r>
              <w:rPr>
                <w:rFonts w:hint="eastAsia" w:cs="Tahoma"/>
                <w:sz w:val="18"/>
                <w:szCs w:val="18"/>
                <w:highlight w:val="none"/>
              </w:rPr>
              <w:t xml:space="preserve">10</w:t>
            </w:r>
            <w:r>
              <w:rPr>
                <w:rFonts w:hint="eastAsia" w:cs="Tahoma"/>
                <w:color w:val="000000"/>
                <w:sz w:val="18"/>
                <w:szCs w:val="18"/>
                <w:highlight w:val="none"/>
              </w:rPr>
              <w:t xml:space="preserve">以内的加减法。</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立方珠链及框架</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个框架、</w:t>
            </w:r>
            <w:r>
              <w:rPr>
                <w:rFonts w:hint="eastAsia" w:cs="Tahoma"/>
                <w:sz w:val="18"/>
                <w:szCs w:val="18"/>
                <w:highlight w:val="none"/>
              </w:rPr>
              <w:t xml:space="preserve">55</w:t>
            </w:r>
            <w:r>
              <w:rPr>
                <w:rFonts w:hint="eastAsia" w:cs="Tahoma"/>
                <w:color w:val="000000"/>
                <w:sz w:val="18"/>
                <w:szCs w:val="18"/>
                <w:highlight w:val="none"/>
              </w:rPr>
              <w:t xml:space="preserve">串珠链（</w:t>
            </w:r>
            <w:r>
              <w:rPr>
                <w:rFonts w:hint="eastAsia" w:cs="Tahoma"/>
                <w:sz w:val="18"/>
                <w:szCs w:val="18"/>
                <w:highlight w:val="none"/>
              </w:rPr>
              <w:t xml:space="preserve">385</w:t>
            </w:r>
            <w:r>
              <w:rPr>
                <w:rFonts w:hint="eastAsia" w:cs="Tahoma"/>
                <w:color w:val="000000"/>
                <w:sz w:val="18"/>
                <w:szCs w:val="18"/>
                <w:highlight w:val="none"/>
              </w:rPr>
              <w:t xml:space="preserve">根珠棒）组成。学习立方的概念和学乘法的预备。</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接龙减龙</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练习加减混合运算，增加儿童对数学的兴趣，培养孩子的逻辑思考能力。</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彩色串珠棒</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熟悉十以内数量、数字与名称，为学习平方、立方做间接准备。</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49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算数尺</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由标有</w:t>
            </w:r>
            <w:r>
              <w:rPr>
                <w:rFonts w:hint="eastAsia" w:cs="Tahoma"/>
                <w:sz w:val="18"/>
                <w:szCs w:val="18"/>
                <w:highlight w:val="none"/>
              </w:rPr>
              <w:t xml:space="preserve">1</w:t>
            </w:r>
            <w:r>
              <w:rPr>
                <w:rFonts w:hint="eastAsia" w:cs="Tahoma"/>
                <w:color w:val="000000"/>
                <w:sz w:val="18"/>
                <w:szCs w:val="18"/>
                <w:highlight w:val="none"/>
              </w:rPr>
              <w:t xml:space="preserve">公分刻度的尺子组成，可进行加减法的运算。</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秤盘组</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由天平、称盘与彩色木珠组成，学习数量与平衡的关系。</w:t>
            </w:r>
            <w:r/>
          </w:p>
        </w:tc>
      </w:tr>
      <w:tr>
        <w:trPr>
          <w:jc w:val="center"/>
          <w:trHeight w:val="93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圆形分数板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由彩色</w:t>
            </w:r>
            <w:r>
              <w:rPr>
                <w:rFonts w:hint="eastAsia" w:cs="Tahoma"/>
                <w:sz w:val="18"/>
                <w:szCs w:val="18"/>
                <w:highlight w:val="none"/>
              </w:rPr>
              <w:t xml:space="preserve">23</w:t>
            </w:r>
            <w:r>
              <w:rPr>
                <w:rFonts w:hint="eastAsia" w:cs="Tahoma"/>
                <w:color w:val="000000"/>
                <w:sz w:val="18"/>
                <w:szCs w:val="18"/>
                <w:highlight w:val="none"/>
              </w:rPr>
              <w:t xml:space="preserve">片圆形分数板、</w:t>
            </w:r>
            <w:r>
              <w:rPr>
                <w:rFonts w:hint="eastAsia" w:cs="Tahoma"/>
                <w:sz w:val="18"/>
                <w:szCs w:val="18"/>
                <w:highlight w:val="none"/>
              </w:rPr>
              <w:t xml:space="preserve">1</w:t>
            </w:r>
            <w:r>
              <w:rPr>
                <w:rFonts w:hint="eastAsia" w:cs="Tahoma"/>
                <w:color w:val="000000"/>
                <w:sz w:val="18"/>
                <w:szCs w:val="18"/>
                <w:highlight w:val="none"/>
              </w:rPr>
              <w:t xml:space="preserve">个双面钉板组成。认识分数，了解部分与整体的关系，增进组合概念。利用钉板背面，配二长短、颜色不同的橡皮筋，可发挥幼儿的想象力与创造力。</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四方拼盘</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由三角形、正方形、平行四边形木块组成，学习几何图形与关系。</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分解几何盘</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个木座、</w:t>
            </w:r>
            <w:r>
              <w:rPr>
                <w:rFonts w:hint="eastAsia" w:cs="Tahoma"/>
                <w:sz w:val="18"/>
                <w:szCs w:val="18"/>
                <w:highlight w:val="none"/>
              </w:rPr>
              <w:t xml:space="preserve">9</w:t>
            </w:r>
            <w:r>
              <w:rPr>
                <w:rFonts w:hint="eastAsia" w:cs="Tahoma"/>
                <w:color w:val="000000"/>
                <w:sz w:val="18"/>
                <w:szCs w:val="18"/>
                <w:highlight w:val="none"/>
              </w:rPr>
              <w:t xml:space="preserve">组多种几何图形组成。是进入分数的预备。</w:t>
            </w:r>
            <w:r/>
          </w:p>
        </w:tc>
      </w:tr>
      <w:tr>
        <w:trPr>
          <w:jc w:val="center"/>
          <w:trHeight w:val="91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1000串珠链</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100</w:t>
            </w:r>
            <w:r>
              <w:rPr>
                <w:rFonts w:hint="eastAsia" w:cs="Tahoma"/>
                <w:color w:val="000000"/>
                <w:sz w:val="18"/>
                <w:szCs w:val="18"/>
                <w:highlight w:val="none"/>
              </w:rPr>
              <w:t xml:space="preserve">根（每根</w:t>
            </w:r>
            <w:r>
              <w:rPr>
                <w:rFonts w:hint="eastAsia" w:cs="Tahoma"/>
                <w:sz w:val="18"/>
                <w:szCs w:val="18"/>
                <w:highlight w:val="none"/>
              </w:rPr>
              <w:t xml:space="preserve">10</w:t>
            </w:r>
            <w:r>
              <w:rPr>
                <w:rFonts w:hint="eastAsia" w:cs="Tahoma"/>
                <w:color w:val="000000"/>
                <w:sz w:val="18"/>
                <w:szCs w:val="18"/>
                <w:highlight w:val="none"/>
              </w:rPr>
              <w:t xml:space="preserve">颗珠）珠棒串成一条组成。加强对数的认识；熟悉连续数及其顺序；与</w:t>
            </w:r>
            <w:r>
              <w:rPr>
                <w:rFonts w:hint="eastAsia" w:cs="Tahoma"/>
                <w:sz w:val="18"/>
                <w:szCs w:val="18"/>
                <w:highlight w:val="none"/>
              </w:rPr>
              <w:t xml:space="preserve">100</w:t>
            </w:r>
            <w:r>
              <w:rPr>
                <w:rFonts w:hint="eastAsia" w:cs="Tahoma"/>
                <w:color w:val="000000"/>
                <w:sz w:val="18"/>
                <w:szCs w:val="18"/>
                <w:highlight w:val="none"/>
              </w:rPr>
              <w:t xml:space="preserve">串珠板、</w:t>
            </w:r>
            <w:r>
              <w:rPr>
                <w:rFonts w:hint="eastAsia" w:cs="Tahoma"/>
                <w:sz w:val="18"/>
                <w:szCs w:val="18"/>
                <w:highlight w:val="none"/>
              </w:rPr>
              <w:t xml:space="preserve">1000</w:t>
            </w:r>
            <w:r>
              <w:rPr>
                <w:rFonts w:hint="eastAsia" w:cs="Tahoma"/>
                <w:color w:val="000000"/>
                <w:sz w:val="18"/>
                <w:szCs w:val="18"/>
                <w:highlight w:val="none"/>
              </w:rPr>
              <w:t xml:space="preserve">的立方体珠块比较，培养差别的印象，加强十进制法的知识，培养专注力与独立性。</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黄色串珠</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认识数与量等量交换的概念，为进行银行游戏做准备。</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数字拼版</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熟悉数字，理解数与量的关系，培养数学学习兴趣</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不规则拼盘</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由不规则几何图形嵌板组成，认识几何图形与锻炼观察能力。</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一公分方块组</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刻度为</w:t>
            </w:r>
            <w:r>
              <w:rPr>
                <w:rFonts w:hint="eastAsia" w:cs="Tahoma"/>
                <w:sz w:val="18"/>
                <w:szCs w:val="18"/>
                <w:highlight w:val="none"/>
              </w:rPr>
              <w:t xml:space="preserve">1</w:t>
            </w:r>
            <w:r>
              <w:rPr>
                <w:rFonts w:hint="eastAsia" w:cs="Tahoma"/>
                <w:color w:val="000000"/>
                <w:sz w:val="18"/>
                <w:szCs w:val="18"/>
                <w:highlight w:val="none"/>
              </w:rPr>
              <w:t xml:space="preserve">公分的连接尺组成，学习加减运算方法</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59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几何图形板</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认识几何图形，为学习几何知识打基础。</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天平组</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由天平、木棍与彩色串珠组成，学习数量、加减与平衡的关系。</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十进位组</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公分方块与</w:t>
            </w:r>
            <w:r>
              <w:rPr>
                <w:rFonts w:hint="eastAsia" w:cs="Tahoma"/>
                <w:sz w:val="18"/>
                <w:szCs w:val="18"/>
                <w:highlight w:val="none"/>
              </w:rPr>
              <w:t xml:space="preserve">10</w:t>
            </w:r>
            <w:r>
              <w:rPr>
                <w:rFonts w:hint="eastAsia" w:cs="Tahoma"/>
                <w:color w:val="000000"/>
                <w:sz w:val="18"/>
                <w:szCs w:val="18"/>
                <w:highlight w:val="none"/>
              </w:rPr>
              <w:t xml:space="preserve">块连接条，以及</w:t>
            </w:r>
            <w:r>
              <w:rPr>
                <w:rFonts w:hint="eastAsia" w:cs="Tahoma"/>
                <w:sz w:val="18"/>
                <w:szCs w:val="18"/>
                <w:highlight w:val="none"/>
              </w:rPr>
              <w:t xml:space="preserve">10</w:t>
            </w:r>
            <w:r>
              <w:rPr>
                <w:rFonts w:hint="eastAsia" w:cs="Tahoma"/>
                <w:color w:val="000000"/>
                <w:sz w:val="18"/>
                <w:szCs w:val="18"/>
                <w:highlight w:val="none"/>
              </w:rPr>
              <w:t xml:space="preserve">平方连接块组成，学习十进制制的关系。</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几何体阶梯</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进口实木</w:t>
            </w:r>
            <w:r>
              <w:rPr>
                <w:rFonts w:hint="eastAsia" w:cs="Tahoma"/>
                <w:sz w:val="18"/>
                <w:szCs w:val="18"/>
                <w:highlight w:val="none"/>
              </w:rPr>
              <w:t xml:space="preserve">5</w:t>
            </w:r>
            <w:r>
              <w:rPr>
                <w:rFonts w:hint="eastAsia" w:cs="Tahoma"/>
                <w:color w:val="000000"/>
                <w:sz w:val="18"/>
                <w:szCs w:val="18"/>
                <w:highlight w:val="none"/>
              </w:rPr>
              <w:t xml:space="preserve">组，可作颜色分类，三种几何图形，感官学习，高→低比较、排序。</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组合几何体盘</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由正</w:t>
            </w:r>
            <w:r>
              <w:rPr>
                <w:rFonts w:hint="eastAsia" w:cs="Tahoma"/>
                <w:sz w:val="18"/>
                <w:szCs w:val="18"/>
                <w:highlight w:val="none"/>
              </w:rPr>
              <w:t xml:space="preserve">5</w:t>
            </w:r>
            <w:r>
              <w:rPr>
                <w:rFonts w:hint="eastAsia" w:cs="Tahoma"/>
                <w:color w:val="000000"/>
                <w:sz w:val="18"/>
                <w:szCs w:val="18"/>
                <w:highlight w:val="none"/>
              </w:rPr>
              <w:t xml:space="preserve">边形、正方形、正三角形、长方形与圆形的面积分解组合，学习分数、面积的关系。</w:t>
            </w:r>
            <w:r/>
          </w:p>
        </w:tc>
      </w:tr>
      <w:tr>
        <w:trPr>
          <w:jc w:val="center"/>
          <w:trHeight w:val="49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数数看</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1-5</w:t>
            </w:r>
            <w:r>
              <w:rPr>
                <w:rFonts w:hint="eastAsia" w:cs="Tahoma"/>
                <w:color w:val="000000"/>
                <w:sz w:val="18"/>
                <w:szCs w:val="18"/>
                <w:highlight w:val="none"/>
              </w:rPr>
              <w:t xml:space="preserve">彩色算珠架组成。可进行分类、集合、分解、量的学习。</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双字母砂字板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熟悉汉语拼音的组成及发音，练习书写。</w:t>
            </w:r>
            <w:r/>
          </w:p>
        </w:tc>
      </w:tr>
      <w:tr>
        <w:trPr>
          <w:jc w:val="center"/>
          <w:trHeight w:val="67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66</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印刷字母箱</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由大小写印刷字母各</w:t>
            </w:r>
            <w:r>
              <w:rPr>
                <w:rFonts w:hint="eastAsia" w:cs="Tahoma"/>
                <w:sz w:val="18"/>
                <w:szCs w:val="18"/>
                <w:highlight w:val="none"/>
              </w:rPr>
              <w:t xml:space="preserve">5</w:t>
            </w:r>
            <w:r>
              <w:rPr>
                <w:rFonts w:hint="eastAsia" w:cs="Tahoma"/>
                <w:color w:val="000000"/>
                <w:sz w:val="18"/>
                <w:szCs w:val="18"/>
                <w:highlight w:val="none"/>
              </w:rPr>
              <w:t xml:space="preserve">套、布袋</w:t>
            </w:r>
            <w:r>
              <w:rPr>
                <w:rFonts w:hint="eastAsia" w:cs="Tahoma"/>
                <w:sz w:val="18"/>
                <w:szCs w:val="18"/>
                <w:highlight w:val="none"/>
              </w:rPr>
              <w:t xml:space="preserve">2</w:t>
            </w:r>
            <w:r>
              <w:rPr>
                <w:rFonts w:hint="eastAsia" w:cs="Tahoma"/>
                <w:color w:val="000000"/>
                <w:sz w:val="18"/>
                <w:szCs w:val="18"/>
                <w:highlight w:val="none"/>
              </w:rPr>
              <w:t xml:space="preserve">个组成（照片仅供参考）。认识英文字母大小写的印刷体。</w:t>
            </w:r>
            <w:r/>
          </w:p>
        </w:tc>
      </w:tr>
      <w:tr>
        <w:trPr>
          <w:jc w:val="center"/>
          <w:trHeight w:val="54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砂字母板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由大小写砂纸字母板各</w:t>
            </w:r>
            <w:r>
              <w:rPr>
                <w:rFonts w:hint="eastAsia" w:cs="Tahoma"/>
                <w:sz w:val="18"/>
                <w:szCs w:val="18"/>
                <w:highlight w:val="none"/>
              </w:rPr>
              <w:t xml:space="preserve">26</w:t>
            </w:r>
            <w:r>
              <w:rPr>
                <w:rFonts w:hint="eastAsia" w:cs="Tahoma"/>
                <w:color w:val="000000"/>
                <w:sz w:val="18"/>
                <w:szCs w:val="18"/>
                <w:highlight w:val="none"/>
              </w:rPr>
              <w:t xml:space="preserve">块组成。通过触摸认识英文字母，为书写做预备。</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活动字母箱</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熟悉字母，练习单词的拼写。</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69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拼音结构练习</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练习汉语拼音的正确组合，掌握拼音拼读规</w:t>
            </w:r>
            <w:r/>
          </w:p>
        </w:tc>
      </w:tr>
      <w:tr>
        <w:trPr>
          <w:jc w:val="center"/>
          <w:trHeight w:val="67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中国地图</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套嵌板组成。了解中国的位置，认识各省、直辖市、自治区和省会城市的位置；培养空间思维。</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活动时钟</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直观认识时钟的构成，了解时间概念，为看生活中的表打基础。</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亚洲地图</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认识亚洲各个国家的位置、名称及风土人情，初步认识地理的空间概念。</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八大行星</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套嵌板组成，认识太阳系，了解九大行星位置，培养空间思维。</w:t>
            </w:r>
            <w:r/>
          </w:p>
        </w:tc>
      </w:tr>
      <w:tr>
        <w:trPr>
          <w:jc w:val="center"/>
          <w:trHeight w:val="72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世界地图</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套嵌板组成。建立地图概念，从地图上认识世界上</w:t>
            </w:r>
            <w:r>
              <w:rPr>
                <w:rFonts w:hint="eastAsia" w:cs="Tahoma"/>
                <w:sz w:val="18"/>
                <w:szCs w:val="18"/>
                <w:highlight w:val="none"/>
              </w:rPr>
              <w:t xml:space="preserve">7</w:t>
            </w:r>
            <w:r>
              <w:rPr>
                <w:rFonts w:hint="eastAsia" w:cs="Tahoma"/>
                <w:color w:val="000000"/>
                <w:sz w:val="18"/>
                <w:szCs w:val="18"/>
                <w:highlight w:val="none"/>
              </w:rPr>
              <w:t xml:space="preserve">大洲和</w:t>
            </w:r>
            <w:r>
              <w:rPr>
                <w:rFonts w:hint="eastAsia" w:cs="Tahoma"/>
                <w:sz w:val="18"/>
                <w:szCs w:val="18"/>
                <w:highlight w:val="none"/>
              </w:rPr>
              <w:t xml:space="preserve">4</w:t>
            </w:r>
            <w:r>
              <w:rPr>
                <w:rFonts w:hint="eastAsia" w:cs="Tahoma"/>
                <w:color w:val="000000"/>
                <w:sz w:val="18"/>
                <w:szCs w:val="18"/>
                <w:highlight w:val="none"/>
              </w:rPr>
              <w:t xml:space="preserve">大洋的位置，培养空思维。</w:t>
            </w:r>
            <w:r/>
          </w:p>
        </w:tc>
      </w:tr>
      <w:tr>
        <w:trPr>
          <w:jc w:val="center"/>
          <w:trHeight w:val="70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叶嵌板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培养手眼协作及独立性提高观察分析能力和专注力，了解</w:t>
            </w:r>
            <w:r>
              <w:rPr>
                <w:rFonts w:hint="eastAsia" w:cs="Tahoma"/>
                <w:sz w:val="18"/>
                <w:szCs w:val="18"/>
                <w:highlight w:val="none"/>
              </w:rPr>
              <w:t xml:space="preserve"> </w:t>
            </w:r>
            <w:r>
              <w:rPr>
                <w:rFonts w:hint="eastAsia" w:cs="Tahoma"/>
                <w:color w:val="000000"/>
                <w:sz w:val="18"/>
                <w:szCs w:val="18"/>
                <w:highlight w:val="none"/>
              </w:rPr>
              <w:t xml:space="preserve">植物的叶的各个部分的基本构造。</w:t>
            </w:r>
            <w:r/>
          </w:p>
        </w:tc>
      </w:tr>
      <w:tr>
        <w:trPr>
          <w:jc w:val="center"/>
          <w:trHeight w:val="69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鸟嵌板</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培养手眼协作及独立性提高观察分析能力和专注力，了解动物—鸟的各个部分的基本构造。</w:t>
            </w:r>
            <w:r/>
          </w:p>
        </w:tc>
      </w:tr>
      <w:tr>
        <w:trPr>
          <w:jc w:val="center"/>
          <w:trHeight w:val="66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乌龟嵌板</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培养手眼协作及独立性提高观察分析能力和专注力，了解动物的乌龟的各个部分的基本构造。</w:t>
            </w:r>
            <w:r/>
          </w:p>
        </w:tc>
      </w:tr>
      <w:tr>
        <w:trPr>
          <w:jc w:val="center"/>
          <w:trHeight w:val="70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鱼嵌板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培养手眼协作及独立性提高观察分析能力和专注力，了解动物的鱼的各个部分的基本构造。</w:t>
            </w:r>
            <w:r/>
          </w:p>
        </w:tc>
      </w:tr>
      <w:tr>
        <w:trPr>
          <w:jc w:val="center"/>
          <w:trHeight w:val="78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79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青蛙嵌板</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培养手眼协作及独立性提高观察分析能力和专注力，了解动物—青蛙的各个部分的基本构造。</w:t>
            </w:r>
            <w:r/>
          </w:p>
        </w:tc>
      </w:tr>
      <w:tr>
        <w:trPr>
          <w:jc w:val="center"/>
          <w:trHeight w:val="67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花嵌板</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培养手眼协作及独立性提高观察分析能力和专注力，了解植物的花的各个部分的基本构造。</w:t>
            </w:r>
            <w:r/>
          </w:p>
        </w:tc>
      </w:tr>
      <w:tr>
        <w:trPr>
          <w:jc w:val="center"/>
          <w:trHeight w:val="66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树嵌板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培养手眼协作及独立性提高观察分析能力和专注力，了解植物的树的各个部分的基本构造。</w:t>
            </w:r>
            <w:r/>
          </w:p>
        </w:tc>
      </w:tr>
      <w:tr>
        <w:trPr>
          <w:jc w:val="center"/>
          <w:trHeight w:val="70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马嵌板</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培养手眼协作及独立性提高观察分析能力和专注力，了解动物的马的各个部分的基本构造。</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树叶嵌板柜</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14</w:t>
            </w:r>
            <w:r>
              <w:rPr>
                <w:rFonts w:hint="eastAsia" w:cs="Tahoma"/>
                <w:color w:val="000000"/>
                <w:sz w:val="18"/>
                <w:szCs w:val="18"/>
                <w:highlight w:val="none"/>
              </w:rPr>
              <w:t xml:space="preserve">块树叶嵌板</w:t>
            </w:r>
            <w:r>
              <w:rPr>
                <w:rFonts w:hint="eastAsia" w:cs="Tahoma"/>
                <w:sz w:val="18"/>
                <w:szCs w:val="18"/>
                <w:highlight w:val="none"/>
              </w:rPr>
              <w:t xml:space="preserve">,5</w:t>
            </w:r>
            <w:r>
              <w:rPr>
                <w:rFonts w:hint="eastAsia" w:cs="Tahoma"/>
                <w:color w:val="000000"/>
                <w:sz w:val="18"/>
                <w:szCs w:val="18"/>
                <w:highlight w:val="none"/>
              </w:rPr>
              <w:t xml:space="preserve">层木橱</w:t>
            </w:r>
            <w:r>
              <w:rPr>
                <w:rFonts w:hint="eastAsia" w:cs="Tahoma"/>
                <w:sz w:val="18"/>
                <w:szCs w:val="18"/>
                <w:highlight w:val="none"/>
              </w:rPr>
              <w:t xml:space="preserve">1</w:t>
            </w:r>
            <w:r>
              <w:rPr>
                <w:rFonts w:hint="eastAsia" w:cs="Tahoma"/>
                <w:color w:val="000000"/>
                <w:sz w:val="18"/>
                <w:szCs w:val="18"/>
                <w:highlight w:val="none"/>
              </w:rPr>
              <w:t xml:space="preserve">个组成。学习识别各种树叶、植物。</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动物卡片</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学习识别各种动物</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植物卡片</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学习识别各种动物植物。</w:t>
            </w:r>
            <w:r/>
          </w:p>
        </w:tc>
      </w:tr>
      <w:tr>
        <w:trPr>
          <w:jc w:val="center"/>
          <w:trHeight w:val="645"/>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86</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二指抓</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个插座板、</w:t>
            </w:r>
            <w:r>
              <w:rPr>
                <w:rFonts w:hint="eastAsia" w:cs="Tahoma"/>
                <w:sz w:val="18"/>
                <w:szCs w:val="18"/>
                <w:highlight w:val="none"/>
              </w:rPr>
              <w:t xml:space="preserve">9</w:t>
            </w:r>
            <w:r>
              <w:rPr>
                <w:rFonts w:hint="eastAsia" w:cs="Tahoma"/>
                <w:color w:val="000000"/>
                <w:sz w:val="18"/>
                <w:szCs w:val="18"/>
                <w:highlight w:val="none"/>
              </w:rPr>
              <w:t xml:space="preserve">个小人组成。锻练两指抓物的能力，提高手眼协调能力</w:t>
            </w:r>
            <w:r/>
          </w:p>
        </w:tc>
      </w:tr>
      <w:tr>
        <w:trPr>
          <w:jc w:val="center"/>
          <w:trHeight w:val="630"/>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衣饰架</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1</w:t>
            </w:r>
            <w:r>
              <w:rPr>
                <w:rFonts w:hint="eastAsia" w:cs="Tahoma"/>
                <w:color w:val="000000"/>
                <w:sz w:val="18"/>
                <w:szCs w:val="18"/>
                <w:highlight w:val="none"/>
              </w:rPr>
              <w:t xml:space="preserve">个架、</w:t>
            </w:r>
            <w:r>
              <w:rPr>
                <w:rFonts w:hint="eastAsia" w:cs="Tahoma"/>
                <w:sz w:val="18"/>
                <w:szCs w:val="18"/>
                <w:highlight w:val="none"/>
              </w:rPr>
              <w:t xml:space="preserve">12</w:t>
            </w:r>
            <w:r>
              <w:rPr>
                <w:rFonts w:hint="eastAsia" w:cs="Tahoma"/>
                <w:color w:val="000000"/>
                <w:sz w:val="18"/>
                <w:szCs w:val="18"/>
                <w:highlight w:val="none"/>
              </w:rPr>
              <w:t xml:space="preserve">个框、</w:t>
            </w:r>
            <w:r>
              <w:rPr>
                <w:rFonts w:hint="eastAsia" w:cs="Tahoma"/>
                <w:sz w:val="18"/>
                <w:szCs w:val="18"/>
                <w:highlight w:val="none"/>
              </w:rPr>
              <w:t xml:space="preserve">12</w:t>
            </w:r>
            <w:r>
              <w:rPr>
                <w:rFonts w:hint="eastAsia" w:cs="Tahoma"/>
                <w:color w:val="000000"/>
                <w:sz w:val="18"/>
                <w:szCs w:val="18"/>
                <w:highlight w:val="none"/>
              </w:rPr>
              <w:t xml:space="preserve">件衣饰组成。学会各种绳带、纽扣的系法，锻练手指灵活性，培养适应日常生活的自理能力。</w:t>
            </w:r>
            <w:r/>
          </w:p>
        </w:tc>
      </w:tr>
      <w:tr>
        <w:trPr>
          <w:jc w:val="center"/>
          <w:trHeight w:val="499"/>
        </w:trPr>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widowControl/>
              <w:rPr>
                <w:rFonts w:hint="eastAsia" w:cs="Tahoma"/>
                <w:b/>
                <w:bCs/>
                <w:color w:val="000000"/>
                <w:sz w:val="21"/>
                <w:szCs w:val="21"/>
                <w:highlight w:val="none"/>
              </w:rPr>
            </w:pPr>
            <w:r>
              <w:rPr>
                <w:rFonts w:hint="eastAsia" w:cs="Tahoma"/>
                <w:b/>
                <w:bCs/>
                <w:color w:val="000000"/>
                <w:sz w:val="21"/>
                <w:szCs w:val="21"/>
                <w:highlight w:val="none"/>
              </w:rPr>
              <w:t xml:space="preserve">88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auto"/>
              <w:widowControl/>
              <w:rPr>
                <w:rFonts w:hint="eastAsia" w:cs="Tahoma"/>
                <w:color w:val="000000"/>
                <w:sz w:val="21"/>
                <w:szCs w:val="21"/>
                <w:highlight w:val="none"/>
              </w:rPr>
            </w:pPr>
            <w:r>
              <w:rPr>
                <w:rFonts w:cs="Tahoma"/>
                <w:color w:val="000000"/>
                <w:sz w:val="21"/>
                <w:szCs w:val="21"/>
                <w:highlight w:val="none"/>
              </w:rPr>
              <w:t xml:space="preserve">地毯</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spacing w:line="240" w:lineRule="auto"/>
              <w:widowControl/>
              <w:rPr>
                <w:rFonts w:hint="eastAsia" w:cs="Tahoma"/>
                <w:color w:val="000000"/>
                <w:sz w:val="21"/>
                <w:szCs w:val="21"/>
                <w:highlight w:val="none"/>
              </w:rPr>
            </w:pPr>
            <w:r>
              <w:rPr>
                <w:rFonts w:hint="eastAsia" w:cs="Tahom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256" w:type="dxa"/>
            <w:vAlign w:val="center"/>
            <w:textDirection w:val="lrTb"/>
            <w:noWrap w:val="false"/>
          </w:tcPr>
          <w:p>
            <w:pPr>
              <w:jc w:val="center"/>
              <w:spacing w:line="240" w:lineRule="auto"/>
              <w:widowControl/>
              <w:rPr>
                <w:rFonts w:hint="eastAsia" w:cs="Tahoma"/>
                <w:color w:val="000000"/>
                <w:sz w:val="18"/>
                <w:szCs w:val="18"/>
                <w:highlight w:val="none"/>
              </w:rPr>
            </w:pPr>
            <w:r>
              <w:rPr>
                <w:rFonts w:hint="eastAsia" w:cs="Tahoma"/>
                <w:color w:val="000000"/>
                <w:sz w:val="18"/>
                <w:szCs w:val="18"/>
                <w:highlight w:val="none"/>
              </w:rPr>
              <w:t xml:space="preserve">由</w:t>
            </w:r>
            <w:r>
              <w:rPr>
                <w:rFonts w:hint="eastAsia" w:cs="Tahoma"/>
                <w:sz w:val="18"/>
                <w:szCs w:val="18"/>
                <w:highlight w:val="none"/>
              </w:rPr>
              <w:t xml:space="preserve">2</w:t>
            </w:r>
            <w:r>
              <w:rPr>
                <w:rFonts w:hint="eastAsia" w:cs="Tahoma"/>
                <w:color w:val="000000"/>
                <w:sz w:val="18"/>
                <w:szCs w:val="18"/>
                <w:highlight w:val="none"/>
              </w:rPr>
              <w:t xml:space="preserve">块地毯组成。供铺垫操作蒙台梭利教具使用。</w:t>
            </w:r>
            <w:r/>
          </w:p>
        </w:tc>
      </w:tr>
    </w:tbl>
    <w:p>
      <w:pPr>
        <w:pStyle w:val="769"/>
        <w:rPr>
          <w:highlight w:val="none"/>
        </w:rPr>
      </w:pPr>
      <w:r>
        <w:rPr>
          <w:highlight w:val="none"/>
        </w:rPr>
      </w:r>
      <w:r/>
    </w:p>
    <w:p>
      <w:pPr>
        <w:jc w:val="center"/>
        <w:spacing w:line="360" w:lineRule="auto"/>
        <w:rPr>
          <w:rFonts w:hint="eastAsia"/>
          <w:b/>
          <w:bCs/>
          <w:sz w:val="32"/>
          <w:szCs w:val="32"/>
          <w:highlight w:val="none"/>
        </w:rPr>
      </w:pPr>
      <w:r>
        <w:rPr>
          <w:rFonts w:hint="eastAsia"/>
          <w:b/>
          <w:bCs/>
          <w:sz w:val="32"/>
          <w:szCs w:val="32"/>
          <w:highlight w:val="none"/>
        </w:rPr>
      </w:r>
      <w:r/>
    </w:p>
    <w:p>
      <w:pPr>
        <w:jc w:val="center"/>
        <w:spacing w:line="360" w:lineRule="auto"/>
        <w:rPr>
          <w:rFonts w:hint="eastAsia"/>
          <w:b/>
          <w:bCs/>
          <w:sz w:val="32"/>
          <w:szCs w:val="32"/>
          <w:highlight w:val="none"/>
        </w:rPr>
      </w:pPr>
      <w:r>
        <w:rPr>
          <w:rFonts w:hint="eastAsia"/>
          <w:b/>
          <w:bCs/>
          <w:sz w:val="32"/>
          <w:szCs w:val="32"/>
          <w:highlight w:val="none"/>
          <w:lang w:eastAsia="zh-CN"/>
        </w:rPr>
        <w:t xml:space="preserve">采购包</w:t>
      </w:r>
      <w:r>
        <w:rPr>
          <w:rFonts w:hint="eastAsia"/>
          <w:b/>
          <w:bCs/>
          <w:sz w:val="32"/>
          <w:szCs w:val="32"/>
          <w:highlight w:val="none"/>
          <w:lang w:val="en-US" w:eastAsia="zh-CN"/>
        </w:rPr>
        <w:t xml:space="preserve">2</w:t>
      </w:r>
      <w:r/>
    </w:p>
    <w:tbl>
      <w:tblPr>
        <w:tblStyle w:val="737"/>
        <w:tblW w:w="79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383"/>
        <w:gridCol w:w="1015"/>
        <w:gridCol w:w="5627"/>
        <w:gridCol w:w="383"/>
        <w:gridCol w:w="581"/>
      </w:tblGrid>
      <w:tr>
        <w:trPr>
          <w:jc w:val="center"/>
          <w:trHeight w:val="0"/>
          <w:tblHeader/>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color w:val="auto"/>
                <w:sz w:val="18"/>
                <w:szCs w:val="18"/>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color w:val="auto"/>
                <w:sz w:val="18"/>
                <w:szCs w:val="18"/>
                <w:highlight w:val="none"/>
                <w:lang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color w:val="auto"/>
                <w:sz w:val="18"/>
                <w:szCs w:val="18"/>
                <w:highlight w:val="none"/>
                <w:lang w:bidi="ar"/>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color w:val="auto"/>
                <w:sz w:val="18"/>
                <w:szCs w:val="18"/>
                <w:highlight w:val="none"/>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color w:val="auto"/>
                <w:sz w:val="18"/>
                <w:szCs w:val="18"/>
                <w:highlight w:val="none"/>
                <w:lang w:bidi="ar"/>
              </w:rPr>
              <w:t xml:space="preserve">单位</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儿童网状密集式悬吊训练系统</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Style w:val="1043"/>
                <w:rFonts w:hint="eastAsia" w:asciiTheme="minorEastAsia" w:hAnsiTheme="minorEastAsia" w:eastAsiaTheme="minorEastAsia" w:cstheme="minorEastAsia"/>
                <w:color w:val="auto"/>
                <w:sz w:val="18"/>
                <w:szCs w:val="18"/>
                <w:highlight w:val="none"/>
                <w:lang w:val="en-US" w:eastAsia="zh-CN" w:bidi="ar"/>
              </w:rPr>
              <w:t xml:space="preserve">一、功能参数：</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1.密集型网架，具有上、左、右、后，4个立体工作面，可满足三维与多角度的支持训练，内部空间可放置≥2000×650×460的三折床，并满足康复训练。</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2.多点悬吊利用悬吊带、绳等，可以让患者进行靶肌肉功能位训练等。</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3.多体位手法床一张，可配合进行患者多体位、多点悬吊训练平台的使用。</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3.1起升重量≥200kg。</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3.2开关：手动开关及环形脚踩开关，治疗师可操作床面的升降。</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3.3前床面可调角度-40º－40º，连续可调。</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3.4中间床面可调角度0º－25º，连续可调。</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3.5后床面可调角度0º－75º，连续可调。</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3.6三折床床面尺寸≥2000×650×460（460-880）mm。</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4.悬吊装置可进行各种分解动作的强化训练。</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5.悬吊装置还可进行活动度训练和牵引训练。</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6.绳索、吊索和悬带自由组合，训练形式多样组合。</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二</w:t>
            </w:r>
            <w:r>
              <w:rPr>
                <w:rStyle w:val="1043"/>
                <w:rFonts w:hint="eastAsia" w:asciiTheme="minorEastAsia" w:hAnsiTheme="minorEastAsia" w:eastAsiaTheme="minorEastAsia" w:cstheme="minorEastAsia"/>
                <w:color w:val="auto"/>
                <w:sz w:val="18"/>
                <w:szCs w:val="18"/>
                <w:highlight w:val="none"/>
                <w:lang w:val="en-US" w:eastAsia="zh-CN" w:bidi="ar"/>
              </w:rPr>
              <w:t xml:space="preserve">、附件参数</w:t>
            </w:r>
            <w:r>
              <w:rPr>
                <w:rStyle w:val="1043"/>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1.平衡气垫                    2个</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2.弹性绳70cm承重≥30Kg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3.弹性绳90cm承重≥30Kg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4.弹性绳90cm承重≥50Kg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5.长绳500cm承重≥150Kg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6.短绳30cm承重≥50Kg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7.短绳60cm承重≥50Kg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8.L弹性绳30cm承重≥30Kg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9.L弹性绳60cm承重≥30Kg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10.L弹性绳30cm承重≥50Kg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11.L弹性绳60cm承重≥50Kg     2根</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12.窄悬带承重≥150Kg    4个    </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13.中分带承重≥150Kg    1个    </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14.型悬带承重≥150Kg    2个    </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15.中悬带承重≥150Kg    2个    </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16.宽悬带承重≥150Kg    2个    </w:t>
            </w:r>
            <w:r/>
          </w:p>
        </w:tc>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儿童感统悬吊训练系统</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Style w:val="1045"/>
                <w:rFonts w:hint="eastAsia" w:asciiTheme="minorEastAsia" w:hAnsiTheme="minorEastAsia" w:eastAsiaTheme="minorEastAsia" w:cstheme="minorEastAsia"/>
                <w:color w:val="auto"/>
                <w:sz w:val="18"/>
                <w:szCs w:val="18"/>
                <w:highlight w:val="none"/>
                <w:lang w:val="en-US" w:eastAsia="zh-CN" w:bidi="ar"/>
              </w:rPr>
              <w:t xml:space="preserve">一、技术参数：</w:t>
            </w:r>
            <w:r>
              <w:rPr>
                <w:rStyle w:val="1045"/>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外廓尺寸≥3000*3000*2000mm</w:t>
            </w:r>
            <w:r>
              <w:rPr>
                <w:rStyle w:val="1045"/>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二、</w:t>
            </w:r>
            <w:r>
              <w:rPr>
                <w:rStyle w:val="1045"/>
                <w:rFonts w:hint="eastAsia" w:asciiTheme="minorEastAsia" w:hAnsiTheme="minorEastAsia" w:eastAsiaTheme="minorEastAsia" w:cstheme="minorEastAsia"/>
                <w:color w:val="auto"/>
                <w:sz w:val="18"/>
                <w:szCs w:val="18"/>
                <w:highlight w:val="none"/>
                <w:lang w:val="en-US" w:eastAsia="zh-CN" w:bidi="ar"/>
              </w:rPr>
              <w:t xml:space="preserve">实木支架：</w:t>
            </w:r>
            <w:r>
              <w:rPr>
                <w:rStyle w:val="1046"/>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主支撑方木≥120*120mm</w:t>
            </w:r>
            <w:r>
              <w:rPr>
                <w:rStyle w:val="1046"/>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横梁方木≥120*80mm</w:t>
            </w:r>
            <w:r>
              <w:rPr>
                <w:rStyle w:val="1046"/>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横梁装配可移动、固定滑轨，滑轨为不锈钢制品</w:t>
            </w:r>
            <w:r>
              <w:rPr>
                <w:rStyle w:val="1046"/>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单支横梁承重≥800KG</w:t>
            </w:r>
            <w:r>
              <w:rPr>
                <w:rStyle w:val="1046"/>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单支挂件承重≥150KG</w:t>
            </w:r>
            <w:r>
              <w:rPr>
                <w:rStyle w:val="1046"/>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木架上方放置网格，尺寸≥3000*3000*5mm，便于悬挂配件</w:t>
            </w:r>
            <w:r>
              <w:rPr>
                <w:rStyle w:val="1046"/>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木架底部放置地垫尺寸≥3000*3000*50mm</w:t>
            </w:r>
            <w:r>
              <w:rPr>
                <w:rStyle w:val="1046"/>
                <w:rFonts w:hint="eastAsia" w:asciiTheme="minorEastAsia" w:hAnsiTheme="minorEastAsia" w:eastAsiaTheme="minorEastAsia" w:cstheme="minorEastAsia"/>
                <w:color w:val="auto"/>
                <w:sz w:val="18"/>
                <w:szCs w:val="18"/>
                <w:highlight w:val="none"/>
                <w:lang w:val="en-US" w:eastAsia="zh-CN" w:bidi="ar"/>
              </w:rPr>
              <w:br/>
            </w:r>
            <w:r>
              <w:rPr>
                <w:rStyle w:val="1045"/>
                <w:rFonts w:hint="eastAsia" w:asciiTheme="minorEastAsia" w:hAnsiTheme="minorEastAsia" w:eastAsiaTheme="minorEastAsia" w:cstheme="minorEastAsia"/>
                <w:color w:val="auto"/>
                <w:sz w:val="18"/>
                <w:szCs w:val="18"/>
                <w:highlight w:val="none"/>
                <w:lang w:val="en-US" w:eastAsia="zh-CN" w:bidi="ar"/>
              </w:rPr>
              <w:t xml:space="preserve">三、配置</w:t>
            </w:r>
            <w:r>
              <w:rPr>
                <w:rStyle w:val="1046"/>
                <w:rFonts w:hint="eastAsia" w:asciiTheme="minorEastAsia" w:hAnsiTheme="minorEastAsia" w:eastAsiaTheme="minorEastAsia" w:cstheme="minorEastAsia"/>
                <w:color w:val="auto"/>
                <w:sz w:val="18"/>
                <w:szCs w:val="18"/>
                <w:highlight w:val="none"/>
                <w:lang w:val="en-US" w:eastAsia="zh-CN" w:bidi="ar"/>
              </w:rPr>
              <w:br/>
            </w:r>
            <w:r>
              <w:rPr>
                <w:rStyle w:val="1046"/>
                <w:rFonts w:hint="eastAsia" w:asciiTheme="minorEastAsia" w:hAnsiTheme="minorEastAsia" w:eastAsiaTheme="minorEastAsia" w:cstheme="minorEastAsia"/>
                <w:color w:val="auto"/>
                <w:sz w:val="18"/>
                <w:szCs w:val="18"/>
                <w:highlight w:val="none"/>
                <w:lang w:val="en-US" w:eastAsia="zh-CN" w:bidi="ar"/>
              </w:rPr>
              <w:t xml:space="preserve">肋木梯、绳网、绳梯、旋转轨道、圆木马吊缆、平衡凳、支撑摆动装置</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儿童悬吊练系统技术</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1.吊顶式设计:采用吊顶安装方式，节省地面空间。</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2.模块化配件:配备多种实用配件，如吊船、平衡凳，丰富训练内容，提升趣味性。</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3.高度可调:悬吊装置高度可根据儿童身高和训练需求灵活调整，适应不同年龄段儿童。</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4.安全性高:配备安全带和固定装置，确保儿童在训练过程中的安全。</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5.利用重力训练手段对痉挛肌肉牵拉、放松。</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6.依据患儿运动功能水平进行渐进性阶梯运动，辅助完成脊柱、盆骨的控制训练。</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7.利用弹力绳、吊带辅助指导患儿通过开链或闭链运动，递进性进行增强肌肉训练，提高拮抗肌肌力。</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8.根据患儿认知水平进行小组配合联系，诱导产生主动运动降低肌张力，缓解全身痉挛状态，增大关节活动度。</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9.增强拮抗肌肌力基础上的引导患儿在主动训练过程中完成各项治疗计划。</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10.利用悬吊的不稳定状态训练运动控制能力，诱导出正常的训练模式，增强平衡、协调能力。</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11.配置悬吊器≥4个，平衡凳≥3个，吊船≥1个。</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天轨</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椭圆型轨道长度≥12m，</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可根据应用场景调整悬吊训练器训练位置</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滑轮装置≥1个，配合轨道使用</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可自锁到指定位置</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配置悬吊器≥1个</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攀岩训练系统（核心产品）</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Style w:val="1043"/>
                <w:rFonts w:hint="eastAsia" w:asciiTheme="minorEastAsia" w:hAnsiTheme="minorEastAsia" w:eastAsiaTheme="minorEastAsia" w:cstheme="minorEastAsia"/>
                <w:color w:val="auto"/>
                <w:sz w:val="18"/>
                <w:szCs w:val="18"/>
                <w:highlight w:val="none"/>
                <w:lang w:val="en-US" w:eastAsia="zh-CN" w:bidi="ar"/>
              </w:rPr>
              <w:t xml:space="preserve">一、尺寸：</w:t>
            </w:r>
            <w:r>
              <w:rPr>
                <w:rStyle w:val="1043"/>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支架≥2600*2000*150(mm)；面板：≥2400*2000(mm)</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二、</w:t>
            </w:r>
            <w:r>
              <w:rPr>
                <w:rStyle w:val="1043"/>
                <w:rFonts w:hint="eastAsia" w:asciiTheme="minorEastAsia" w:hAnsiTheme="minorEastAsia" w:eastAsiaTheme="minorEastAsia" w:cstheme="minorEastAsia"/>
                <w:color w:val="auto"/>
                <w:sz w:val="18"/>
                <w:szCs w:val="18"/>
                <w:highlight w:val="none"/>
                <w:lang w:val="en-US" w:eastAsia="zh-CN" w:bidi="ar"/>
              </w:rPr>
              <w:t xml:space="preserve">用途：</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1.系统配有电动升降移动装置，最大速度7-600mm/s。</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2.电动升降装置配有遥控器、方便使用人员远程操作。</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3.承重≥300KG、电动攀爬系统的倾斜角度可在45度至90度之间调节，以适应不同患者使用，并配有安全防护装置。</w:t>
            </w:r>
            <w:r>
              <w:rPr>
                <w:rStyle w:val="1044"/>
                <w:rFonts w:hint="eastAsia" w:asciiTheme="minorEastAsia" w:hAnsiTheme="minorEastAsia" w:eastAsiaTheme="minorEastAsia" w:cstheme="minorEastAsia"/>
                <w:color w:val="auto"/>
                <w:sz w:val="18"/>
                <w:szCs w:val="18"/>
                <w:highlight w:val="none"/>
                <w:lang w:val="en-US" w:eastAsia="zh-CN" w:bidi="ar"/>
              </w:rPr>
              <w:br/>
            </w:r>
            <w:r>
              <w:rPr>
                <w:rStyle w:val="1044"/>
                <w:rFonts w:hint="eastAsia" w:asciiTheme="minorEastAsia" w:hAnsiTheme="minorEastAsia" w:eastAsiaTheme="minorEastAsia" w:cstheme="minorEastAsia"/>
                <w:color w:val="auto"/>
                <w:sz w:val="18"/>
                <w:szCs w:val="18"/>
                <w:highlight w:val="none"/>
                <w:lang w:val="en-US" w:eastAsia="zh-CN" w:bidi="ar"/>
              </w:rPr>
              <w:t xml:space="preserve">▲</w:t>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t xml:space="preserve">三、环保清漆。提供第三方检测机构出具的带有CMA标识的检测报告扫描件。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儿童滑梯</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规格：≥200*100*90cm</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材质：多层板，龙骨架，整体全部采用高密度棉及环保皮革，安全环保。</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大龙球</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功能：适合孩子进行球上运动，躺、坐、卧、趴等。提供前庭刺激，加强平衡能力，也适合大人进行球上健身运动。 适于推、拍、滚的大型体能球具。</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规格：直径≥65cm。</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花生球</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功能：弧形球面，幼儿在坐、趴、躺时更安全，更锻炼触觉</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规格：≥Ф40×L90cm。</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颗粒按摩球</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功能：球面上有特殊设计的软质颗粒，游戏中可以提供丰富的触觉刺激。具有按摩作用，促进血液循环。可在球上进行躺、坐、趴或拍、推、滚…等好玩的亲子活动。 可提升幼儿动作、平衡等能力。                    </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规格：直径≥85cm。</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羊角球</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功能：跳跃动作促进孩子前庭觉、本体觉的统合发展,增进动作控制能力,促进腿部肌肉的发展。                                                      规格：直径≥55cm。</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软件组合楼梯、平台及斜坡</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功能：</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锻炼患者对形状认知能力，如何动手将各种形状的小软件拼接成不同形状，让儿童努力思考的问题，开发智力。</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参数：阻燃符合于GB6675-2014标准；环保符合于GB21550标准</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①楼梯：内部采用EVA+海绵造型，表面国际环保阻燃BS-5852PU皮革。</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②平台：内部采用EVA+海绵造型，表面国际环保阻燃BS-5852PU皮革，共3个软件。</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③斜坡：内部采用EVA+海绵造型，表面国际环保阻燃BS-5852PU皮革，共3个软件。</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各软件之间用魔术勾毛相互粘接。</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尺寸：≥2000*500*500mm。</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斜坡组合软垫</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功能：</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配合拉架床使用，方便游戏者上下拉架床。也可进行积木体操训练，对身体协调，空间知觉和运动企划的帮助尤其大。</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参数：</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1.优质木材、环保填充材料、国际环保阻燃BS-5852PU皮革构成；</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2.尺寸：异形垫：≥900*450*450mm；</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3.方形垫：≥450*450*450mm；</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4.承重≥80kg。</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纯色墙垫</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功能：保护与整体环境装饰作用。</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参数：外层防水、国际环保阻燃BS-5852PU皮革，内层国际环保阻燃BS-5852认证再生棉；防水、国际环保阻燃BS-5852PU皮革，高级木材组合墙垫采用弹度材质制作，以及木材，除可减轻墙垫厚度及重量；亦确保游戏者的安全外，更同时可保护游戏者。</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墙垫高度≥1.2米</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厚度≥40mm</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平方</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彩色地胶</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厚度:≥5mm,</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产品要求采用100%全新原生料标准化生产，产品须无异味、环保性能优异</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具有优异的防水性能。</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外观质量：哑光面层，色泽均匀，无明显色差，无裂痕，分层等缺陷</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反弹率：≥90%</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冲击吸收：20～50%</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硬度（邵A）：≥85度</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阻燃性：B1级（</w:t>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t xml:space="preserve">提供第三方检测机构出具的带有CMA标识的检测报告扫描件</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摩擦系数：0.5～0.7μ</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拉伸强度：2.5MPa</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焊接强度，平均值≥550N/50mm；最小值≥500N/50mm</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自然气候暴露试验(&gt;24个月)：外观表面无开裂、粉化现象，色差&lt;1级</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低温脆化测试(-40℃)试验后无变形，无明显色差</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出具甲醛释放量检测报告（</w:t>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t xml:space="preserve">提供第三方检测机构出具的带有CMA标识的检测报告扫描件</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平方</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康复训练器（肘关节）</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1.设备采用静态进展性牵伸原理与应力松弛技术相结合的技术，具有对关节功能障碍进行康复训练；</w:t>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t xml:space="preserve">（需提供医疗器械注册或备案证明）</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▲2.设备具有塔式结构设计，减轻关节骨性挤压所带来的疼痛，具有关节滚动联合滑动的运动方式；</w:t>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t xml:space="preserve">（提供产品参数或产品说明书的扫描件）</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3.具有重心固定托架，肢体牵伸过程的重心落在固定托架支撑点，保证关节的运动始终在同一平面内牵伸，避免关节运动旋转产生剪切力，造成术后内植物固定失效;</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4.具有防关节轴心偏离多档位设计,档位调节≤30度，从而使各个关节的活动控制在适量范围内，弱化关节的附属运动，有效防止固定套具偏移；</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5.具有力学反馈与保护锁死装置功能的螺旋扣，高效便捷动态控制患者在治疗过程痛觉与牵伸感；</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6.套具采用内衬和柔性板材一次真空成型，防止脱胶而产生的位移风险；</w:t>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t xml:space="preserve">（提供实物彩色图片）</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7.主构支撑架采用聚氟乙烯和SiC长纤维复合的新型复合材料，使其结构性能达到比强度高、比刚度高及疲劳、蠕变和韧性最优化；</w:t>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8.适用于儿童全关节置换、韧带修复、骨折之后、半月板切除术后、关节纤维化、烧伤等，脑卒中引起的关节僵硬和挛缩；</w:t>
            </w:r>
            <w:r/>
          </w:p>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9.套具具有可拆卸功能，便于根据不同的患者更换相适应的套具；</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▲10.套具内衬垫符合皮肤致敏试验、皮肤刺激实验、细胞毒性试验的安全要求；</w:t>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t xml:space="preserve">（提供第三方检测机构出具的带有CMA或CNAS标识的检测报告扫描件）</w:t>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br/>
            </w:r>
            <w:r>
              <w:rPr>
                <w:rStyle w:val="1044"/>
                <w:rFonts w:hint="eastAsia" w:asciiTheme="minorEastAsia" w:hAnsiTheme="minorEastAsia" w:eastAsiaTheme="minorEastAsia" w:cstheme="minorEastAsia"/>
                <w:b/>
                <w:bCs/>
                <w:i w:val="0"/>
                <w:iCs w:val="0"/>
                <w:color w:val="auto"/>
                <w:sz w:val="18"/>
                <w:szCs w:val="18"/>
                <w:highlight w:val="none"/>
                <w:lang w:val="en-US" w:eastAsia="zh-CN" w:bidi="ar"/>
              </w:rPr>
              <w:t xml:space="preserve">11.</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肘关节运动幅度：屈曲最大角度≥145°；过伸最大角度≥15°。</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佩戴式足下垂康复仪（智能助行仪）</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▲1、刺激器采用脉冲形状双向矩形脉冲</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2、采用步行模式和锻炼模式</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3、脉冲宽度范围分100、200、300us</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4、脉冲重复频率20-45Hz可调</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5、刺激触发源为倾角或足底传感器，最大刺激时间≤10s</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8、绑带种类≥2种</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9、电极片直径根据部位不同多种可选</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10、仪器定位具有同时定位神经电极和肌肉电极的位置功能</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11、具有行走和非行走两种模式</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12、具有步行时自动分析步态采集功能</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13、具有适应控制刺激的开始和停止步态控制功能</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14、刺激波形采用双相波输出及等效双通道技术</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15、具有电池电量指示、电极脱落、低电压报警检测功能</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环境适配</w:t>
            </w:r>
            <w:r/>
          </w:p>
        </w:tc>
        <w:tc>
          <w:tcPr>
            <w:shd w:val="clear" w:color="auto" w:fill="ffffff"/>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宋体" w:hAnsi="宋体" w:cs="宋体"/>
                <w:color w:val="auto"/>
                <w:sz w:val="18"/>
                <w:szCs w:val="18"/>
                <w:highlight w:val="none"/>
                <w:lang w:val="en-US" w:eastAsia="zh-CN" w:bidi="ar"/>
              </w:rPr>
              <w:t xml:space="preserve">货物安装前场地墙、吊顶、地面的适配准备</w:t>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w:t>
            </w:r>
            <w:r/>
          </w:p>
          <w:p>
            <w:pPr>
              <w:numPr>
                <w:ilvl w:val="0"/>
                <w:numId w:val="0"/>
              </w:numPr>
              <w:spacing w:after="0" w:line="240" w:lineRule="auto"/>
              <w:widowControl/>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1.墙面材料要求不低于100平方米。</w:t>
            </w:r>
            <w:r/>
          </w:p>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2.吊顶材料不低于56平方米对应的造型吊顶、灯具等配件；电线规格不低于2.5mm²；品牌开关插座不少于10个。</w:t>
            </w:r>
            <w:r/>
          </w:p>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3.网线不低于五类线，最大传输速率不低于100Mbps。</w:t>
            </w:r>
            <w:r/>
          </w:p>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w:t>
            </w:r>
            <w:r>
              <w:rPr>
                <w:rFonts w:hint="eastAsia" w:hAnsi="宋体" w:cs="宋体"/>
                <w:color w:val="auto"/>
                <w:sz w:val="18"/>
                <w:szCs w:val="18"/>
                <w:highlight w:val="none"/>
                <w:lang w:val="en-US" w:eastAsia="zh-CN" w:bidi="ar"/>
              </w:rPr>
              <w:t xml:space="preserve">房间内安装对角监控摄像头。</w:t>
            </w:r>
            <w:r/>
          </w:p>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5.窗帘：纯色棉质布料，固定窗帘挂钩，不低于2套（窗户面宽8米）。</w:t>
            </w:r>
            <w:r/>
          </w:p>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注：①以上所有材料需满足国家标准及环保标准。</w:t>
            </w:r>
            <w:r/>
          </w:p>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②软包与布艺均须符合阻燃及环保标准。</w:t>
            </w:r>
            <w:r/>
          </w:p>
        </w:tc>
        <w:tc>
          <w:tcPr>
            <w:shd w:val="clear" w:color="auto" w:fill="auto"/>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cstheme="minorEastAsia"/>
                <w:i w:val="0"/>
                <w:iCs w:val="0"/>
                <w:color w:val="auto"/>
                <w:sz w:val="18"/>
                <w:szCs w:val="18"/>
                <w:highlight w:val="none"/>
                <w:u w:val="none"/>
                <w:lang w:val="en-US" w:eastAsia="zh-CN" w:bidi="ar"/>
              </w:rPr>
              <w:t xml:space="preserve">项</w:t>
            </w:r>
            <w:r/>
          </w:p>
        </w:tc>
      </w:tr>
    </w:tbl>
    <w:p>
      <w:pPr>
        <w:jc w:val="both"/>
        <w:spacing w:line="360" w:lineRule="auto"/>
        <w:rPr>
          <w:rFonts w:hint="eastAsia" w:ascii="华文仿宋" w:hAnsi="华文仿宋" w:eastAsia="华文仿宋" w:cs="华文仿宋"/>
          <w:b/>
          <w:color w:val="000000" w:themeColor="text1"/>
          <w:sz w:val="24"/>
          <w:szCs w:val="24"/>
          <w:highlight w:val="none"/>
          <w14:textFill>
            <w14:solidFill>
              <w14:schemeClr w14:val="tx1"/>
            </w14:solidFill>
          </w14:textFill>
        </w:rPr>
      </w:pPr>
      <w:r>
        <w:rPr>
          <w:rFonts w:hint="eastAsia" w:ascii="华文仿宋" w:hAnsi="华文仿宋" w:eastAsia="华文仿宋" w:cs="华文仿宋"/>
          <w:b/>
          <w:color w:val="000000" w:themeColor="text1"/>
          <w:sz w:val="24"/>
          <w:szCs w:val="24"/>
          <w:highlight w:val="none"/>
          <w14:textFill>
            <w14:solidFill>
              <w14:schemeClr w14:val="tx1"/>
            </w14:solidFill>
          </w14:textFill>
        </w:rPr>
      </w:r>
      <w:r/>
    </w:p>
    <w:p>
      <w:pPr>
        <w:jc w:val="both"/>
        <w:spacing w:line="360" w:lineRule="auto"/>
        <w:rPr>
          <w:rFonts w:hint="eastAsia" w:ascii="华文仿宋" w:hAnsi="华文仿宋" w:eastAsia="华文仿宋" w:cs="华文仿宋"/>
          <w:b/>
          <w:color w:val="000000" w:themeColor="text1"/>
          <w:sz w:val="24"/>
          <w:szCs w:val="24"/>
          <w:highlight w:val="none"/>
          <w14:textFill>
            <w14:solidFill>
              <w14:schemeClr w14:val="tx1"/>
            </w14:solidFill>
          </w14:textFill>
        </w:rPr>
      </w:pPr>
      <w:r>
        <w:rPr>
          <w:rFonts w:hint="eastAsia" w:ascii="华文仿宋" w:hAnsi="华文仿宋" w:eastAsia="华文仿宋" w:cs="华文仿宋"/>
          <w:b/>
          <w:color w:val="000000" w:themeColor="text1"/>
          <w:sz w:val="24"/>
          <w:szCs w:val="24"/>
          <w:highlight w:val="none"/>
          <w:lang w:eastAsia="zh-CN"/>
          <w14:textFill>
            <w14:solidFill>
              <w14:schemeClr w14:val="tx1"/>
            </w14:solidFill>
          </w14:textFill>
        </w:rPr>
        <w:t xml:space="preserve">说明：（</w:t>
      </w:r>
      <w:r>
        <w:rPr>
          <w:rFonts w:ascii="华文仿宋" w:hAnsi="华文仿宋" w:eastAsia="华文仿宋" w:cs="华文仿宋"/>
          <w:b/>
          <w:color w:val="000000" w:themeColor="text1"/>
          <w:sz w:val="24"/>
          <w:szCs w:val="24"/>
          <w:highlight w:val="none"/>
          <w:lang w:eastAsia="zh-CN"/>
          <w14:textFill>
            <w14:solidFill>
              <w14:schemeClr w14:val="tx1"/>
            </w14:solidFill>
          </w14:textFill>
        </w:rPr>
        <w:t xml:space="preserve">1</w:t>
      </w:r>
      <w:r>
        <w:rPr>
          <w:rFonts w:hint="eastAsia" w:ascii="华文仿宋" w:hAnsi="华文仿宋" w:eastAsia="华文仿宋" w:cs="华文仿宋"/>
          <w:b/>
          <w:color w:val="000000" w:themeColor="text1"/>
          <w:sz w:val="24"/>
          <w:szCs w:val="24"/>
          <w:highlight w:val="none"/>
          <w:lang w:eastAsia="zh-CN"/>
          <w14:textFill>
            <w14:solidFill>
              <w14:schemeClr w14:val="tx1"/>
            </w14:solidFill>
          </w14:textFill>
        </w:rPr>
        <w:t xml:space="preserve">）以上所有采购包中加“★”标志的为实质性响应指标；实质性响应指标为不允许偏离的实质性要求和条件，如有偏离，在符合性审查时按照投标无效处理。</w:t>
      </w:r>
      <w:r/>
    </w:p>
    <w:p>
      <w:pPr>
        <w:ind w:firstLine="721"/>
        <w:jc w:val="both"/>
        <w:spacing w:line="360" w:lineRule="auto"/>
        <w:rPr>
          <w:rFonts w:hint="eastAsia" w:ascii="华文仿宋" w:hAnsi="华文仿宋" w:eastAsia="华文仿宋" w:cs="华文仿宋"/>
          <w:b/>
          <w:color w:val="000000" w:themeColor="text1"/>
          <w:sz w:val="24"/>
          <w:szCs w:val="24"/>
          <w:highlight w:val="none"/>
          <w14:textFill>
            <w14:solidFill>
              <w14:schemeClr w14:val="tx1"/>
            </w14:solidFill>
          </w14:textFill>
        </w:rPr>
      </w:pPr>
      <w:r>
        <w:rPr>
          <w:rFonts w:hint="eastAsia" w:ascii="华文仿宋" w:hAnsi="华文仿宋" w:eastAsia="华文仿宋" w:cs="华文仿宋"/>
          <w:b/>
          <w:color w:val="000000" w:themeColor="text1"/>
          <w:sz w:val="24"/>
          <w:szCs w:val="24"/>
          <w:highlight w:val="none"/>
          <w:lang w:eastAsia="zh-CN"/>
          <w14:textFill>
            <w14:solidFill>
              <w14:schemeClr w14:val="tx1"/>
            </w14:solidFill>
          </w14:textFill>
        </w:rPr>
        <w:t xml:space="preserve">（</w:t>
      </w:r>
      <w:r>
        <w:rPr>
          <w:rFonts w:hint="eastAsia" w:ascii="华文仿宋" w:hAnsi="华文仿宋" w:eastAsia="华文仿宋" w:cs="华文仿宋"/>
          <w:b/>
          <w:color w:val="000000" w:themeColor="text1"/>
          <w:sz w:val="24"/>
          <w:szCs w:val="24"/>
          <w:highlight w:val="none"/>
          <w:lang w:val="en-US" w:eastAsia="zh-CN"/>
          <w14:textFill>
            <w14:solidFill>
              <w14:schemeClr w14:val="tx1"/>
            </w14:solidFill>
          </w14:textFill>
        </w:rPr>
        <w:t xml:space="preserve">2</w:t>
      </w:r>
      <w:r>
        <w:rPr>
          <w:rFonts w:hint="eastAsia" w:ascii="华文仿宋" w:hAnsi="华文仿宋" w:eastAsia="华文仿宋" w:cs="华文仿宋"/>
          <w:b/>
          <w:color w:val="000000" w:themeColor="text1"/>
          <w:sz w:val="24"/>
          <w:szCs w:val="24"/>
          <w:highlight w:val="none"/>
          <w:lang w:eastAsia="zh-CN"/>
          <w14:textFill>
            <w14:solidFill>
              <w14:schemeClr w14:val="tx1"/>
            </w14:solidFill>
          </w14:textFill>
        </w:rPr>
        <w:t xml:space="preserve">）以上所有采购包中无“★”标志的为非实质性响应指标。其中加“▲”为次重要响应指标，其他为一般响应指标。</w:t>
      </w:r>
      <w:r/>
    </w:p>
    <w:p>
      <w:pPr>
        <w:ind w:firstLine="721"/>
        <w:jc w:val="both"/>
        <w:spacing w:line="360" w:lineRule="auto"/>
        <w:rPr>
          <w:rFonts w:hint="default" w:ascii="华文仿宋" w:hAnsi="华文仿宋" w:eastAsia="华文仿宋" w:cs="华文仿宋"/>
          <w:b/>
          <w:color w:val="000000" w:themeColor="text1"/>
          <w:sz w:val="24"/>
          <w:szCs w:val="24"/>
          <w:highlight w:val="none"/>
          <w14:textFill>
            <w14:solidFill>
              <w14:schemeClr w14:val="tx1"/>
            </w14:solidFill>
          </w14:textFill>
        </w:rPr>
      </w:pPr>
      <w:r>
        <w:rPr>
          <w:rFonts w:hint="eastAsia" w:ascii="华文仿宋" w:hAnsi="华文仿宋" w:eastAsia="华文仿宋" w:cs="华文仿宋"/>
          <w:b/>
          <w:color w:val="000000" w:themeColor="text1"/>
          <w:sz w:val="24"/>
          <w:szCs w:val="24"/>
          <w:highlight w:val="none"/>
          <w:lang w:eastAsia="zh-CN"/>
          <w14:textFill>
            <w14:solidFill>
              <w14:schemeClr w14:val="tx1"/>
            </w14:solidFill>
          </w14:textFill>
        </w:rPr>
        <w:t xml:space="preserve">（</w:t>
      </w:r>
      <w:r>
        <w:rPr>
          <w:rFonts w:hint="eastAsia" w:ascii="华文仿宋" w:hAnsi="华文仿宋" w:eastAsia="华文仿宋" w:cs="华文仿宋"/>
          <w:b/>
          <w:color w:val="000000" w:themeColor="text1"/>
          <w:sz w:val="24"/>
          <w:szCs w:val="24"/>
          <w:highlight w:val="none"/>
          <w:lang w:val="en-US" w:eastAsia="zh-CN"/>
          <w14:textFill>
            <w14:solidFill>
              <w14:schemeClr w14:val="tx1"/>
            </w14:solidFill>
          </w14:textFill>
        </w:rPr>
        <w:t xml:space="preserve">3</w:t>
      </w:r>
      <w:r>
        <w:rPr>
          <w:rFonts w:hint="eastAsia" w:ascii="华文仿宋" w:hAnsi="华文仿宋" w:eastAsia="华文仿宋" w:cs="华文仿宋"/>
          <w:b/>
          <w:color w:val="000000" w:themeColor="text1"/>
          <w:sz w:val="24"/>
          <w:szCs w:val="24"/>
          <w:highlight w:val="none"/>
          <w:lang w:eastAsia="zh-CN"/>
          <w14:textFill>
            <w14:solidFill>
              <w14:schemeClr w14:val="tx1"/>
            </w14:solidFill>
          </w14:textFill>
        </w:rPr>
        <w:t xml:space="preserve">）未按照招标文件要求提供证明材料的视为不满足</w:t>
      </w:r>
      <w:r>
        <w:rPr>
          <w:rFonts w:hint="eastAsia" w:ascii="华文仿宋" w:hAnsi="华文仿宋" w:eastAsia="华文仿宋" w:cs="华文仿宋"/>
          <w:b/>
          <w:color w:val="000000" w:themeColor="text1"/>
          <w:sz w:val="24"/>
          <w:szCs w:val="24"/>
          <w:highlight w:val="none"/>
          <w:lang w:val="en-US" w:eastAsia="zh-CN"/>
          <w14:textFill>
            <w14:solidFill>
              <w14:schemeClr w14:val="tx1"/>
            </w14:solidFill>
          </w14:textFill>
        </w:rPr>
        <w:t xml:space="preserve">。</w:t>
      </w:r>
      <w:r/>
    </w:p>
    <w:p>
      <w:pPr>
        <w:ind w:firstLine="482"/>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四、项目实施要求</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1、货物按照规格大小进行包装，并在外包装上标明货物名称及数量，以便采购人进行验收。成交供应商提供的货物或服务应符合国家及徐州市规定的标准、行业标准、招标文件及合同约定。</w:t>
      </w:r>
      <w:r/>
    </w:p>
    <w:p>
      <w:pPr>
        <w:pStyle w:val="764"/>
        <w:ind w:left="0" w:firstLine="0"/>
        <w:rPr>
          <w:rFonts w:hint="default" w:eastAsia="宋体"/>
          <w:highlight w:val="none"/>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    2、投标人须按照采购人要求进行设备安装，因设备安装对室内原有设施、墙体、地面等室内环境调整改造及垃圾清运等产生的所有费用，均包含在投标报价内，招标人不再另行支付。</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1"/>
          <w:highlight w:val="none"/>
          <w14:textFill>
            <w14:solidFill>
              <w14:schemeClr w14:val="tx1"/>
            </w14:solidFill>
          </w14:textFill>
        </w:rPr>
        <w:t xml:space="preserve">、全部货物运抵现场</w:t>
      </w:r>
      <w:r>
        <w:rPr>
          <w:rFonts w:hint="eastAsia" w:ascii="宋体" w:hAnsi="宋体" w:cs="宋体"/>
          <w:bCs/>
          <w:color w:val="000000" w:themeColor="text1"/>
          <w:sz w:val="24"/>
          <w:szCs w:val="21"/>
          <w:highlight w:val="none"/>
          <w:lang w:eastAsia="zh-CN"/>
          <w14:textFill>
            <w14:solidFill>
              <w14:schemeClr w14:val="tx1"/>
            </w14:solidFill>
          </w14:textFill>
        </w:rPr>
        <w:t xml:space="preserve">且安装调试完毕</w:t>
      </w:r>
      <w:r>
        <w:rPr>
          <w:rFonts w:hint="eastAsia" w:ascii="宋体" w:hAnsi="宋体" w:eastAsia="宋体" w:cs="宋体"/>
          <w:bCs/>
          <w:color w:val="000000" w:themeColor="text1"/>
          <w:sz w:val="24"/>
          <w:szCs w:val="21"/>
          <w:highlight w:val="none"/>
          <w14:textFill>
            <w14:solidFill>
              <w14:schemeClr w14:val="tx1"/>
            </w14:solidFill>
          </w14:textFill>
        </w:rPr>
        <w:t xml:space="preserve">后，</w:t>
      </w:r>
      <w:r>
        <w:rPr>
          <w:rFonts w:hint="eastAsia" w:ascii="宋体" w:hAnsi="宋体" w:cs="宋体"/>
          <w:bCs/>
          <w:color w:val="000000" w:themeColor="text1"/>
          <w:sz w:val="24"/>
          <w:szCs w:val="21"/>
          <w:highlight w:val="none"/>
          <w:lang w:eastAsia="zh-CN"/>
          <w14:textFill>
            <w14:solidFill>
              <w14:schemeClr w14:val="tx1"/>
            </w14:solidFill>
          </w14:textFill>
        </w:rPr>
        <w:t xml:space="preserve">中标人</w:t>
      </w:r>
      <w:r>
        <w:rPr>
          <w:rFonts w:hint="eastAsia" w:ascii="宋体" w:hAnsi="宋体" w:eastAsia="宋体" w:cs="宋体"/>
          <w:bCs/>
          <w:color w:val="000000" w:themeColor="text1"/>
          <w:sz w:val="24"/>
          <w:szCs w:val="21"/>
          <w:highlight w:val="none"/>
          <w14:textFill>
            <w14:solidFill>
              <w14:schemeClr w14:val="tx1"/>
            </w14:solidFill>
          </w14:textFill>
        </w:rPr>
        <w:t xml:space="preserve">应当于</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日内通知采购人验收，验收或检验不合格的，采购人有权要求</w:t>
      </w:r>
      <w:r>
        <w:rPr>
          <w:rFonts w:hint="eastAsia" w:ascii="宋体" w:hAnsi="宋体" w:cs="宋体"/>
          <w:bCs/>
          <w:color w:val="000000" w:themeColor="text1"/>
          <w:sz w:val="24"/>
          <w:szCs w:val="21"/>
          <w:highlight w:val="none"/>
          <w:lang w:eastAsia="zh-CN"/>
          <w14:textFill>
            <w14:solidFill>
              <w14:schemeClr w14:val="tx1"/>
            </w14:solidFill>
          </w14:textFill>
        </w:rPr>
        <w:t xml:space="preserve">中标人</w:t>
      </w:r>
      <w:r>
        <w:rPr>
          <w:rFonts w:hint="eastAsia" w:ascii="宋体" w:hAnsi="宋体" w:eastAsia="宋体" w:cs="宋体"/>
          <w:bCs/>
          <w:color w:val="000000" w:themeColor="text1"/>
          <w:sz w:val="24"/>
          <w:szCs w:val="21"/>
          <w:highlight w:val="none"/>
          <w14:textFill>
            <w14:solidFill>
              <w14:schemeClr w14:val="tx1"/>
            </w14:solidFill>
          </w14:textFill>
        </w:rPr>
        <w:t xml:space="preserve">限期履行合同义务、无偿给予更换、维修、退货、解除本合同及采取其他有效补救措施。</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、验收和检验应当按照采购人要求及安排进行，成交供应商配合采购人做好验收工作，本合同货物及服务应当符合国家和徐州市规定的标准以及行业标准。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招标文件、投标文件、厂家货物技术标准说明及有关国家的质量标准规定，均作为验收标准。项目完成后，由采购人根据合同载明的设备名称、型号、数量、技术参数、说明书等对照验收，投标人提供的设备要与投标时承诺的质量相一致。采购人有权邀请国家认可的质量检测机构参加验收工作。验收时中标投标人代表必须在场。验收合格后，中标投标人凭采购人出具的验收合格书至采购人处根据合同规定办理付款手续。验收不合格或不符合质量要求，投标人除无条件退货、返工外，还应承担采购人的一切损失。</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验收时需提交的书面文件：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1、销售统一发票；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2、设备合格证；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3、保修卡或保修手册；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4、使用说明手册（中文）；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highlight w:val="none"/>
          <w14:textFill>
            <w14:solidFill>
              <w14:schemeClr w14:val="tx1"/>
            </w14:solidFill>
          </w14:textFill>
        </w:rPr>
        <w:t xml:space="preserve">、配置详单。</w:t>
      </w:r>
      <w:r/>
    </w:p>
    <w:p>
      <w:pPr>
        <w:pStyle w:val="775"/>
        <w:numPr>
          <w:ilvl w:val="0"/>
          <w:numId w:val="0"/>
        </w:numPr>
        <w:spacing w:line="40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五、</w:t>
      </w:r>
      <w:r>
        <w:rPr>
          <w:rFonts w:hint="eastAsia" w:ascii="宋体" w:hAnsi="宋体" w:eastAsia="宋体" w:cs="宋体"/>
          <w:b/>
          <w:bCs/>
          <w:color w:val="000000" w:themeColor="text1"/>
          <w:sz w:val="28"/>
          <w:szCs w:val="28"/>
          <w:highlight w:val="none"/>
          <w14:textFill>
            <w14:solidFill>
              <w14:schemeClr w14:val="tx1"/>
            </w14:solidFill>
          </w14:textFill>
        </w:rPr>
        <w:t xml:space="preserve">售后服务要求：</w:t>
      </w:r>
      <w:r/>
    </w:p>
    <w:p>
      <w:pPr>
        <w:pStyle w:val="776"/>
        <w:ind w:left="4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bookmarkStart w:id="4" w:name="_Toc13543213"/>
      <w:r>
        <w:rPr>
          <w:rFonts w:hint="eastAsia" w:ascii="宋体" w:hAnsi="宋体" w:eastAsia="宋体" w:cs="宋体"/>
          <w:bCs/>
          <w:color w:val="000000" w:themeColor="text1"/>
          <w:sz w:val="24"/>
          <w:szCs w:val="21"/>
          <w:highlight w:val="none"/>
          <w14:textFill>
            <w14:solidFill>
              <w14:schemeClr w14:val="tx1"/>
            </w14:solidFill>
          </w14:textFill>
        </w:rPr>
        <w:t xml:space="preserve">1、报价应包括本次采购范围内全部材料、备品配件及专用工具的价格、全部税费、包装费、运杂费（运抵甲方项目现场）、保险费、安装费、调试费、</w:t>
      </w:r>
      <w:r>
        <w:rPr>
          <w:rFonts w:hint="eastAsia" w:ascii="宋体" w:hAnsi="宋体" w:cs="宋体"/>
          <w:bCs/>
          <w:color w:val="000000" w:themeColor="text1"/>
          <w:sz w:val="24"/>
          <w:szCs w:val="21"/>
          <w:highlight w:val="none"/>
          <w:lang w:eastAsia="zh-CN"/>
          <w14:textFill>
            <w14:solidFill>
              <w14:schemeClr w14:val="tx1"/>
            </w14:solidFill>
          </w14:textFill>
        </w:rPr>
        <w:t xml:space="preserve">维修费、现场改造费、</w:t>
      </w:r>
      <w:r>
        <w:rPr>
          <w:rFonts w:hint="eastAsia" w:ascii="宋体" w:hAnsi="宋体" w:eastAsia="宋体" w:cs="宋体"/>
          <w:bCs/>
          <w:color w:val="000000" w:themeColor="text1"/>
          <w:sz w:val="24"/>
          <w:szCs w:val="21"/>
          <w:highlight w:val="none"/>
          <w14:textFill>
            <w14:solidFill>
              <w14:schemeClr w14:val="tx1"/>
            </w14:solidFill>
          </w14:textFill>
        </w:rPr>
        <w:t xml:space="preserve">采购人操作维护人员培训费等。</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2、在交付、组装、</w:t>
      </w:r>
      <w:r>
        <w:rPr>
          <w:rFonts w:hint="eastAsia" w:ascii="宋体" w:hAnsi="宋体" w:cs="宋体"/>
          <w:bCs/>
          <w:color w:val="000000" w:themeColor="text1"/>
          <w:sz w:val="24"/>
          <w:szCs w:val="21"/>
          <w:highlight w:val="none"/>
          <w:lang w:eastAsia="zh-CN"/>
          <w14:textFill>
            <w14:solidFill>
              <w14:schemeClr w14:val="tx1"/>
            </w14:solidFill>
          </w14:textFill>
        </w:rPr>
        <w:t xml:space="preserve">安装、</w:t>
      </w:r>
      <w:r>
        <w:rPr>
          <w:rFonts w:hint="eastAsia" w:ascii="宋体" w:hAnsi="宋体" w:eastAsia="宋体" w:cs="宋体"/>
          <w:bCs/>
          <w:color w:val="000000" w:themeColor="text1"/>
          <w:sz w:val="24"/>
          <w:szCs w:val="21"/>
          <w:highlight w:val="none"/>
          <w14:textFill>
            <w14:solidFill>
              <w14:schemeClr w14:val="tx1"/>
            </w14:solidFill>
          </w14:textFill>
        </w:rPr>
        <w:t xml:space="preserve">验收过程中，如发现有漏项、缺件，</w:t>
      </w:r>
      <w:r>
        <w:rPr>
          <w:rFonts w:hint="eastAsia" w:ascii="宋体" w:hAnsi="宋体" w:cs="宋体"/>
          <w:bCs/>
          <w:color w:val="000000" w:themeColor="text1"/>
          <w:sz w:val="24"/>
          <w:szCs w:val="21"/>
          <w:highlight w:val="none"/>
          <w:lang w:eastAsia="zh-CN"/>
          <w14:textFill>
            <w14:solidFill>
              <w14:schemeClr w14:val="tx1"/>
            </w14:solidFill>
          </w14:textFill>
        </w:rPr>
        <w:t xml:space="preserve">中标人</w:t>
      </w:r>
      <w:r>
        <w:rPr>
          <w:rFonts w:hint="eastAsia" w:ascii="宋体" w:hAnsi="宋体" w:eastAsia="宋体" w:cs="宋体"/>
          <w:bCs/>
          <w:color w:val="000000" w:themeColor="text1"/>
          <w:sz w:val="24"/>
          <w:szCs w:val="21"/>
          <w:highlight w:val="none"/>
          <w14:textFill>
            <w14:solidFill>
              <w14:schemeClr w14:val="tx1"/>
            </w14:solidFill>
          </w14:textFill>
        </w:rPr>
        <w:t xml:space="preserve">应无条件、无偿补齐，所发生的一切费用，视为已包含在</w:t>
      </w:r>
      <w:r>
        <w:rPr>
          <w:rFonts w:hint="eastAsia" w:ascii="宋体" w:hAnsi="宋体" w:cs="宋体"/>
          <w:bCs/>
          <w:color w:val="000000" w:themeColor="text1"/>
          <w:sz w:val="24"/>
          <w:szCs w:val="21"/>
          <w:highlight w:val="none"/>
          <w:lang w:eastAsia="zh-CN"/>
          <w14:textFill>
            <w14:solidFill>
              <w14:schemeClr w14:val="tx1"/>
            </w14:solidFill>
          </w14:textFill>
        </w:rPr>
        <w:t xml:space="preserve">中标人投</w:t>
      </w:r>
      <w:r>
        <w:rPr>
          <w:rFonts w:hint="eastAsia" w:ascii="宋体" w:hAnsi="宋体" w:eastAsia="宋体" w:cs="宋体"/>
          <w:bCs/>
          <w:color w:val="000000" w:themeColor="text1"/>
          <w:sz w:val="24"/>
          <w:szCs w:val="21"/>
          <w:highlight w:val="none"/>
          <w14:textFill>
            <w14:solidFill>
              <w14:schemeClr w14:val="tx1"/>
            </w14:solidFill>
          </w14:textFill>
        </w:rPr>
        <w:t xml:space="preserve">标时的</w:t>
      </w:r>
      <w:r>
        <w:rPr>
          <w:rFonts w:hint="eastAsia" w:ascii="宋体" w:hAnsi="宋体" w:cs="宋体"/>
          <w:bCs/>
          <w:color w:val="000000" w:themeColor="text1"/>
          <w:sz w:val="24"/>
          <w:szCs w:val="21"/>
          <w:highlight w:val="none"/>
          <w:lang w:eastAsia="zh-CN"/>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标报价之中，且并不因此而影响交付采购人使用的时间。</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3、采购人对招标文件中技术参数具有最终解释权，</w:t>
      </w:r>
      <w:r>
        <w:rPr>
          <w:rFonts w:hint="eastAsia" w:ascii="宋体" w:hAnsi="宋体" w:cs="宋体"/>
          <w:bCs/>
          <w:color w:val="000000" w:themeColor="text1"/>
          <w:sz w:val="24"/>
          <w:szCs w:val="21"/>
          <w:highlight w:val="none"/>
          <w:lang w:eastAsia="zh-CN"/>
          <w14:textFill>
            <w14:solidFill>
              <w14:schemeClr w14:val="tx1"/>
            </w14:solidFill>
          </w14:textFill>
        </w:rPr>
        <w:t xml:space="preserve">中标人</w:t>
      </w:r>
      <w:r>
        <w:rPr>
          <w:rFonts w:hint="eastAsia" w:ascii="宋体" w:hAnsi="宋体" w:eastAsia="宋体" w:cs="宋体"/>
          <w:bCs/>
          <w:color w:val="000000" w:themeColor="text1"/>
          <w:sz w:val="24"/>
          <w:szCs w:val="21"/>
          <w:highlight w:val="none"/>
          <w14:textFill>
            <w14:solidFill>
              <w14:schemeClr w14:val="tx1"/>
            </w14:solidFill>
          </w14:textFill>
        </w:rPr>
        <w:t xml:space="preserve">要严格按照采购人所提供的需求进行供货。</w:t>
      </w:r>
      <w:r/>
    </w:p>
    <w:p>
      <w:pPr>
        <w:ind w:firstLine="482"/>
        <w:spacing w:line="360" w:lineRule="auto"/>
        <w:rPr>
          <w:rFonts w:hint="default" w:ascii="宋体" w:hAnsi="宋体" w:eastAsia="宋体" w:cs="宋体"/>
          <w:b/>
          <w:bCs w:val="0"/>
          <w:color w:val="000000" w:themeColor="text1"/>
          <w:sz w:val="24"/>
          <w:szCs w:val="21"/>
          <w:highlight w:val="none"/>
          <w14:textFill>
            <w14:solidFill>
              <w14:schemeClr w14:val="tx1"/>
            </w14:solidFill>
          </w14:textFill>
        </w:rPr>
        <w:outlineLvl w:val="0"/>
      </w:pPr>
      <w:r>
        <w:rPr>
          <w:rFonts w:hint="eastAsia" w:ascii="宋体" w:hAnsi="宋体" w:eastAsia="宋体" w:cs="宋体"/>
          <w:b/>
          <w:bCs w:val="0"/>
          <w:color w:val="000000" w:themeColor="text1"/>
          <w:sz w:val="24"/>
          <w:szCs w:val="21"/>
          <w:highlight w:val="none"/>
          <w14:textFill>
            <w14:solidFill>
              <w14:schemeClr w14:val="tx1"/>
            </w14:solidFill>
          </w14:textFill>
        </w:rPr>
        <w:t xml:space="preserve">4</w:t>
      </w:r>
      <w:r>
        <w:rPr>
          <w:rFonts w:hint="eastAsia" w:ascii="宋体" w:hAnsi="宋体" w:eastAsia="宋体" w:cs="宋体"/>
          <w:b/>
          <w:bCs w:val="0"/>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1"/>
          <w:highlight w:val="none"/>
          <w14:textFill>
            <w14:solidFill>
              <w14:schemeClr w14:val="tx1"/>
            </w14:solidFill>
          </w14:textFill>
        </w:rPr>
        <w:t xml:space="preserve">中标人应对所投产品质量负责，在验收完成后，</w:t>
      </w:r>
      <w:r>
        <w:rPr>
          <w:rFonts w:hint="eastAsia" w:ascii="宋体" w:hAnsi="宋体" w:cs="宋体"/>
          <w:b/>
          <w:bCs w:val="0"/>
          <w:color w:val="000000" w:themeColor="text1"/>
          <w:sz w:val="24"/>
          <w:szCs w:val="21"/>
          <w:highlight w:val="none"/>
          <w:lang w:eastAsia="zh-CN"/>
          <w14:textFill>
            <w14:solidFill>
              <w14:schemeClr w14:val="tx1"/>
            </w14:solidFill>
          </w14:textFill>
        </w:rPr>
        <w:t xml:space="preserve">硬件</w:t>
      </w:r>
      <w:r>
        <w:rPr>
          <w:rFonts w:hint="eastAsia" w:ascii="宋体" w:hAnsi="宋体" w:eastAsia="宋体" w:cs="宋体"/>
          <w:b/>
          <w:bCs w:val="0"/>
          <w:color w:val="000000" w:themeColor="text1"/>
          <w:sz w:val="24"/>
          <w:szCs w:val="21"/>
          <w:highlight w:val="none"/>
          <w14:textFill>
            <w14:solidFill>
              <w14:schemeClr w14:val="tx1"/>
            </w14:solidFill>
          </w14:textFill>
        </w:rPr>
        <w:t xml:space="preserve">免费质保</w:t>
      </w:r>
      <w:r>
        <w:rPr>
          <w:rFonts w:hint="eastAsia" w:ascii="宋体" w:hAnsi="宋体" w:cs="宋体"/>
          <w:b/>
          <w:bCs w:val="0"/>
          <w:color w:val="000000" w:themeColor="text1"/>
          <w:sz w:val="24"/>
          <w:szCs w:val="21"/>
          <w:highlight w:val="none"/>
          <w:lang w:val="en-US" w:eastAsia="zh-CN"/>
          <w14:textFill>
            <w14:solidFill>
              <w14:schemeClr w14:val="tx1"/>
            </w14:solidFill>
          </w14:textFill>
        </w:rPr>
        <w:t xml:space="preserve">至少2</w:t>
      </w:r>
      <w:r>
        <w:rPr>
          <w:rFonts w:hint="eastAsia" w:ascii="宋体" w:hAnsi="宋体" w:eastAsia="宋体" w:cs="宋体"/>
          <w:b/>
          <w:bCs w:val="0"/>
          <w:color w:val="000000" w:themeColor="text1"/>
          <w:sz w:val="24"/>
          <w:szCs w:val="21"/>
          <w:highlight w:val="none"/>
          <w14:textFill>
            <w14:solidFill>
              <w14:schemeClr w14:val="tx1"/>
            </w14:solidFill>
          </w14:textFill>
        </w:rPr>
        <w:t xml:space="preserve">年，保修期内出现的设备质量问题，成交供应商应负责实行“三包”。</w:t>
      </w:r>
      <w:r>
        <w:rPr>
          <w:rFonts w:hint="eastAsia" w:ascii="宋体" w:hAnsi="宋体" w:cs="宋体"/>
          <w:b/>
          <w:bCs w:val="0"/>
          <w:color w:val="000000" w:themeColor="text1"/>
          <w:sz w:val="24"/>
          <w:szCs w:val="21"/>
          <w:highlight w:val="none"/>
          <w:lang w:eastAsia="zh-CN"/>
          <w14:textFill>
            <w14:solidFill>
              <w14:schemeClr w14:val="tx1"/>
            </w14:solidFill>
          </w14:textFill>
        </w:rPr>
        <w:t xml:space="preserve">软件免费升级维护不低于</w:t>
      </w:r>
      <w:r>
        <w:rPr>
          <w:rFonts w:hint="eastAsia" w:ascii="宋体" w:hAnsi="宋体" w:cs="宋体"/>
          <w:b/>
          <w:bCs w:val="0"/>
          <w:color w:val="000000" w:themeColor="text1"/>
          <w:sz w:val="24"/>
          <w:szCs w:val="21"/>
          <w:highlight w:val="none"/>
          <w:lang w:val="en-US" w:eastAsia="zh-CN"/>
          <w14:textFill>
            <w14:solidFill>
              <w14:schemeClr w14:val="tx1"/>
            </w14:solidFill>
          </w14:textFill>
        </w:rPr>
        <w:t xml:space="preserve">5年。</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outlineLvl w:val="0"/>
      </w:pP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1"/>
          <w:highlight w:val="none"/>
          <w14:textFill>
            <w14:solidFill>
              <w14:schemeClr w14:val="tx1"/>
            </w14:solidFill>
          </w14:textFill>
        </w:rPr>
        <w:t xml:space="preserve">质保期内，中标人应提供7*24小时的电话技术支持服务和远程指导。在质保期内招标人提出现场技术服务要求后，保证3小时内到达指定地点，提供现场技术保障服务。应于24小时内完成物资装备修复，不得收取任何费用。如在规定时间内无法修复，应及时更换备用设备，并承担因更换所发生的运输、保险、安装、检测等有关的全部费用。</w:t>
      </w:r>
      <w:r>
        <w:rPr>
          <w:rFonts w:hint="eastAsia" w:ascii="宋体" w:hAnsi="宋体" w:eastAsia="宋体" w:cs="宋体"/>
          <w:color w:val="000000" w:themeColor="text1"/>
          <w:sz w:val="24"/>
          <w:szCs w:val="21"/>
          <w:highlight w:val="none"/>
          <w14:textFill>
            <w14:solidFill>
              <w14:schemeClr w14:val="tx1"/>
            </w14:solidFill>
          </w14:textFill>
        </w:rPr>
        <w:t xml:space="preserve">若在48小时内未能有效解决，供货方须免费提供同档次的设备予采购方临时使用。</w:t>
      </w:r>
      <w:r>
        <w:rPr>
          <w:rFonts w:hint="eastAsia" w:ascii="宋体" w:hAnsi="宋体" w:eastAsia="宋体" w:cs="宋体"/>
          <w:bCs/>
          <w:color w:val="000000" w:themeColor="text1"/>
          <w:sz w:val="24"/>
          <w:szCs w:val="21"/>
          <w:highlight w:val="none"/>
          <w14:textFill>
            <w14:solidFill>
              <w14:schemeClr w14:val="tx1"/>
            </w14:solidFill>
          </w14:textFill>
        </w:rPr>
        <w:t xml:space="preserve">中标人需提供售后服务方案，要求售后组织计划完善，售后人员配备专业数量充足，售后管理措施及验收说明清晰明确、可操作性强。</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0"/>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交货期与交货地点</w:t>
      </w:r>
      <w:r/>
    </w:p>
    <w:p>
      <w:pPr>
        <w:ind w:firstLine="480"/>
        <w:spacing w:line="360" w:lineRule="auto"/>
        <w:rPr>
          <w:rFonts w:hint="eastAsia" w:ascii="宋体" w:hAnsi="宋体" w:eastAsia="宋体" w:cs="宋体"/>
          <w:b/>
          <w:bCs/>
          <w:color w:val="000000" w:themeColor="text1"/>
          <w:sz w:val="24"/>
          <w:szCs w:val="21"/>
          <w:highlight w:val="none"/>
          <w14:textFill>
            <w14:solidFill>
              <w14:schemeClr w14:val="tx1"/>
            </w14:solidFill>
          </w14:textFill>
        </w:rPr>
        <w:outlineLvl w:val="0"/>
      </w:pP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1"/>
          <w:highlight w:val="none"/>
          <w14:textFill>
            <w14:solidFill>
              <w14:schemeClr w14:val="tx1"/>
            </w14:solidFill>
          </w14:textFill>
        </w:rPr>
        <w:t xml:space="preserve">1、交货期要求：合同签订后</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30天</w:t>
      </w:r>
      <w:r>
        <w:rPr>
          <w:rFonts w:hint="eastAsia" w:ascii="宋体" w:hAnsi="宋体" w:eastAsia="宋体" w:cs="宋体"/>
          <w:b/>
          <w:bCs/>
          <w:color w:val="000000" w:themeColor="text1"/>
          <w:sz w:val="24"/>
          <w:szCs w:val="21"/>
          <w:highlight w:val="none"/>
          <w14:textFill>
            <w14:solidFill>
              <w14:schemeClr w14:val="tx1"/>
            </w14:solidFill>
          </w14:textFill>
        </w:rPr>
        <w:t xml:space="preserve">内完成详细实施，具备验收条件。</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0"/>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2、交货地点：采购人指定地点。</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0"/>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3、交货期限是指从合同签订之日起至中标人将全部产品送达交货地点并安装调试完成止的这段时间。未经招标人许可，不得更改交货时间。</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0"/>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为确保在规定时间内保质保量完成项目实施，中标方需指派2名专业人员驻场进行安装部署直至项目完成验收。</w:t>
      </w:r>
      <w:r>
        <w:rPr>
          <w:rFonts w:hint="eastAsia" w:ascii="宋体" w:hAnsi="宋体" w:eastAsia="宋体" w:cs="宋体"/>
          <w:color w:val="000000" w:themeColor="text1"/>
          <w:sz w:val="24"/>
          <w:szCs w:val="24"/>
          <w:highlight w:val="none"/>
          <w14:textFill>
            <w14:solidFill>
              <w14:schemeClr w14:val="tx1"/>
            </w14:solidFill>
          </w14:textFill>
        </w:rPr>
        <w:t xml:space="preserve">在产品验收前，投标人应根据招标文件要求，安排具备相应资质和经验的技术人员，对使用人员进行全流程培训，确保相关人员能熟练掌握设备或系统的日常使用及维护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项目验收期间，中标方提供技术培训一次，时间不低于2天；项目质保期间，中标方每年提供</w:t>
      </w:r>
      <w:r>
        <w:rPr>
          <w:rFonts w:hint="eastAsia" w:ascii="宋体" w:hAnsi="宋体" w:eastAsia="宋体" w:cs="宋体"/>
          <w:color w:val="000000" w:themeColor="text1"/>
          <w:sz w:val="24"/>
          <w:szCs w:val="24"/>
          <w:highlight w:val="none"/>
          <w14:textFill>
            <w14:solidFill>
              <w14:schemeClr w14:val="tx1"/>
            </w14:solidFill>
          </w14:textFill>
        </w:rPr>
        <w:t xml:space="preserve">不低于2次上门或集中免费培训</w:t>
      </w:r>
      <w:r>
        <w:rPr>
          <w:rFonts w:hint="eastAsia" w:ascii="宋体" w:hAnsi="宋体" w:eastAsia="宋体" w:cs="宋体"/>
          <w:color w:val="000000" w:themeColor="text1"/>
          <w:sz w:val="24"/>
          <w:szCs w:val="21"/>
          <w:highlight w:val="none"/>
          <w14:textFill>
            <w14:solidFill>
              <w14:schemeClr w14:val="tx1"/>
            </w14:solidFill>
          </w14:textFill>
        </w:rPr>
        <w:t xml:space="preserve">，每次时间不低于1天。  </w:t>
      </w:r>
      <w:r/>
    </w:p>
    <w:p>
      <w:pPr>
        <w:pStyle w:val="775"/>
        <w:ind w:firstLine="602"/>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14:textFill>
            <w14:solidFill>
              <w14:schemeClr w14:val="tx1"/>
            </w14:solidFill>
          </w14:textFill>
        </w:rPr>
        <w:t xml:space="preserve">、履约保证金收取</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本项目不缴纳</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pStyle w:val="775"/>
        <w:ind w:firstLine="602"/>
        <w:spacing w:line="400" w:lineRule="exact"/>
        <w:rPr>
          <w:rFonts w:hint="eastAsia" w:ascii="宋体" w:hAnsi="宋体" w:eastAsia="宋体" w:cs="宋体"/>
          <w:b/>
          <w:color w:val="000000" w:themeColor="text1"/>
          <w:sz w:val="24"/>
          <w:highlight w:val="none"/>
          <w14:textFill>
            <w14:solidFill>
              <w14:schemeClr w14:val="tx1"/>
            </w14:solidFill>
          </w14:textFill>
        </w:rPr>
      </w:pPr>
      <w:r/>
      <w:bookmarkStart w:id="5" w:name="_Toc13543220"/>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highlight w:val="none"/>
          <w14:textFill>
            <w14:solidFill>
              <w14:schemeClr w14:val="tx1"/>
            </w14:solidFill>
          </w14:textFill>
        </w:rPr>
        <w:t xml:space="preserve">、</w:t>
      </w:r>
      <w:bookmarkEnd w:id="5"/>
      <w:r>
        <w:rPr>
          <w:rFonts w:hint="eastAsia" w:ascii="宋体" w:hAnsi="宋体" w:eastAsia="宋体" w:cs="宋体"/>
          <w:b/>
          <w:color w:val="000000" w:themeColor="text1"/>
          <w:sz w:val="24"/>
          <w:highlight w:val="none"/>
          <w14:textFill>
            <w14:solidFill>
              <w14:schemeClr w14:val="tx1"/>
            </w14:solidFill>
          </w14:textFill>
        </w:rPr>
        <w:t xml:space="preserve">合同签订要求</w:t>
      </w:r>
      <w:r/>
    </w:p>
    <w:p>
      <w:pPr>
        <w:pStyle w:val="775"/>
        <w:ind w:firstLine="60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（一）投标人如对合同中的具体条款有异议，需在投标文件（偏离表）中写明相应修改意见。</w:t>
      </w:r>
      <w:r/>
    </w:p>
    <w:p>
      <w:pPr>
        <w:pStyle w:val="775"/>
        <w:ind w:firstLine="60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（二）投标人如对合同中的具体条款有异议，但是没有在投标文件（偏离表）中写明相应修改意见的，在中标后不得再以对合同具体条款有异议为由拒绝签订合同。</w:t>
      </w:r>
      <w:r/>
    </w:p>
    <w:p>
      <w:pPr>
        <w:pStyle w:val="775"/>
        <w:ind w:firstLine="60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（三）投标人如对合同中的具体条款没有异议，请在中标后根据招投标文件实质性条款补充、完善合同相应条款内容。</w:t>
      </w:r>
      <w:r/>
    </w:p>
    <w:p>
      <w:pPr>
        <w:pStyle w:val="775"/>
        <w:ind w:firstLine="60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中标人应当自中标通知书发出之日起十五日内按照采购文件确定的事项签订采购合同，最迟不得超过三十日。如因中标人原因导致双方无法签订书面合同的，招标人有权取消中标人中标资格，并要求中标人依法承担法律责任。</w:t>
      </w:r>
      <w:bookmarkEnd w:id="4"/>
      <w:r/>
      <w:r/>
    </w:p>
    <w:p>
      <w:pPr>
        <w:pStyle w:val="775"/>
        <w:ind w:firstLine="602"/>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4"/>
          <w:szCs w:val="24"/>
          <w:highlight w:val="none"/>
          <w14:textFill>
            <w14:solidFill>
              <w14:schemeClr w14:val="tx1"/>
            </w14:solidFill>
          </w14:textFill>
        </w:rPr>
        <w:t xml:space="preserve">、其他要求</w:t>
      </w:r>
      <w:r/>
    </w:p>
    <w:p>
      <w:pPr>
        <w:pStyle w:val="775"/>
        <w:ind w:firstLine="600"/>
        <w:spacing w:line="52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见招标文件第五章《拟签订的合同文本》。</w:t>
      </w: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pStyle w:val="772"/>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p>
    <w:p>
      <w:pPr>
        <w:pStyle w:val="770"/>
        <w:numPr>
          <w:ilvl w:val="0"/>
          <w:numId w:val="0"/>
        </w:numPr>
        <w:jc w:val="center"/>
        <w:spacing w:line="360" w:lineRule="auto"/>
        <w:widowControl w:val="off"/>
        <w:rPr>
          <w:rStyle w:val="1034"/>
          <w:rFonts w:ascii="宋体" w:hAnsi="宋体"/>
          <w:b w:val="0"/>
          <w:bCs/>
          <w:color w:val="000000" w:themeColor="text1"/>
          <w:sz w:val="24"/>
          <w:szCs w:val="24"/>
          <w:highlight w:val="none"/>
          <w14:textFill>
            <w14:solidFill>
              <w14:schemeClr w14:val="tx1"/>
            </w14:solidFill>
          </w14:textFill>
        </w:rPr>
      </w:pPr>
      <w:r>
        <w:rPr>
          <w:rStyle w:val="1034"/>
          <w:rFonts w:hint="eastAsia" w:ascii="宋体" w:hAnsi="宋体"/>
          <w:b w:val="0"/>
          <w:color w:val="000000" w:themeColor="text1"/>
          <w:sz w:val="24"/>
          <w:szCs w:val="24"/>
          <w:highlight w:val="none"/>
          <w14:textFill>
            <w14:solidFill>
              <w14:schemeClr w14:val="tx1"/>
            </w14:solidFill>
          </w14:textFill>
        </w:rPr>
        <w:t xml:space="preserve">（</w:t>
      </w:r>
      <w:r>
        <w:rPr>
          <w:rFonts w:hint="eastAsia" w:ascii="宋体" w:hAnsi="宋体"/>
          <w:b w:val="0"/>
          <w:color w:val="000000" w:themeColor="text1"/>
          <w:sz w:val="24"/>
          <w:szCs w:val="24"/>
          <w:highlight w:val="none"/>
          <w14:textFill>
            <w14:solidFill>
              <w14:schemeClr w14:val="tx1"/>
            </w14:solidFill>
          </w14:textFill>
        </w:rPr>
        <w:t xml:space="preserve">本</w:t>
      </w:r>
      <w:r>
        <w:rPr>
          <w:rFonts w:ascii="宋体" w:hAnsi="宋体"/>
          <w:b w:val="0"/>
          <w:color w:val="000000" w:themeColor="text1"/>
          <w:sz w:val="24"/>
          <w:szCs w:val="24"/>
          <w:highlight w:val="none"/>
          <w14:textFill>
            <w14:solidFill>
              <w14:schemeClr w14:val="tx1"/>
            </w14:solidFill>
          </w14:textFill>
        </w:rPr>
        <w:t xml:space="preserve">章仅提供</w:t>
      </w:r>
      <w:r>
        <w:rPr>
          <w:rFonts w:hint="eastAsia" w:ascii="宋体" w:hAnsi="宋体"/>
          <w:b w:val="0"/>
          <w:color w:val="000000" w:themeColor="text1"/>
          <w:sz w:val="24"/>
          <w:szCs w:val="24"/>
          <w:highlight w:val="none"/>
          <w:lang w:eastAsia="zh-CN"/>
          <w14:textFill>
            <w14:solidFill>
              <w14:schemeClr w14:val="tx1"/>
            </w14:solidFill>
          </w14:textFill>
        </w:rPr>
        <w:t xml:space="preserve">投标</w:t>
      </w:r>
      <w:r>
        <w:rPr>
          <w:rFonts w:ascii="宋体" w:hAnsi="宋体"/>
          <w:b w:val="0"/>
          <w:color w:val="000000" w:themeColor="text1"/>
          <w:sz w:val="24"/>
          <w:szCs w:val="24"/>
          <w:highlight w:val="none"/>
          <w14:textFill>
            <w14:solidFill>
              <w14:schemeClr w14:val="tx1"/>
            </w14:solidFill>
          </w14:textFill>
        </w:rPr>
        <w:t xml:space="preserve">文件中的部分文件格式，不应被理解为包含了</w:t>
      </w:r>
      <w:r>
        <w:rPr>
          <w:rFonts w:hint="eastAsia" w:ascii="宋体" w:hAnsi="宋体"/>
          <w:b w:val="0"/>
          <w:color w:val="000000" w:themeColor="text1"/>
          <w:sz w:val="24"/>
          <w:szCs w:val="24"/>
          <w:highlight w:val="none"/>
          <w:lang w:eastAsia="zh-CN"/>
          <w14:textFill>
            <w14:solidFill>
              <w14:schemeClr w14:val="tx1"/>
            </w14:solidFill>
          </w14:textFill>
        </w:rPr>
        <w:t xml:space="preserve">投标</w:t>
      </w:r>
      <w:r>
        <w:rPr>
          <w:rFonts w:ascii="宋体" w:hAnsi="宋体"/>
          <w:b w:val="0"/>
          <w:color w:val="000000" w:themeColor="text1"/>
          <w:sz w:val="24"/>
          <w:szCs w:val="24"/>
          <w:highlight w:val="none"/>
          <w14:textFill>
            <w14:solidFill>
              <w14:schemeClr w14:val="tx1"/>
            </w14:solidFill>
          </w14:textFill>
        </w:rPr>
        <w:t xml:space="preserve">文件所需的全部资料</w:t>
      </w:r>
      <w:r>
        <w:rPr>
          <w:rFonts w:hint="eastAsia" w:ascii="宋体" w:hAnsi="宋体"/>
          <w:b w:val="0"/>
          <w:color w:val="000000" w:themeColor="text1"/>
          <w:sz w:val="24"/>
          <w:szCs w:val="24"/>
          <w:highlight w:val="none"/>
          <w14:textFill>
            <w14:solidFill>
              <w14:schemeClr w14:val="tx1"/>
            </w14:solidFill>
          </w14:textFill>
        </w:rPr>
        <w:t xml:space="preserve">）</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1.投标函</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2.法定代表人授权书</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3.开标一览表</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4.分项价格表</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5.具备履行合同所必需的设备和专业技术能力的书面声明</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6.投标人参加政府采购活动前3年内在经营活动中没有重大违法记录的书面声明</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.偏离表</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.中小企业声明函</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.残疾人福利性单位声明函</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highlight w:val="none"/>
          <w14:textFill>
            <w14:solidFill>
              <w14:schemeClr w14:val="tx1"/>
            </w14:solidFill>
          </w14:textFill>
        </w:rPr>
        <w:t xml:space="preserve">.预付款保函支付条款</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color w:val="000000" w:themeColor="text1"/>
          <w:sz w:val="30"/>
          <w:szCs w:val="30"/>
          <w:highlight w:val="none"/>
          <w14:textFill>
            <w14:solidFill>
              <w14:schemeClr w14:val="tx1"/>
            </w14:solidFill>
          </w14:textFill>
        </w:rPr>
        <w:t xml:space="preserve">投标</w:t>
      </w:r>
      <w:r>
        <w:rPr>
          <w:rFonts w:hint="eastAsia" w:ascii="宋体" w:hAnsi="宋体" w:eastAsia="宋体" w:cs="宋体"/>
          <w:color w:val="000000" w:themeColor="text1"/>
          <w:sz w:val="28"/>
          <w:szCs w:val="28"/>
          <w:highlight w:val="none"/>
          <w14:textFill>
            <w14:solidFill>
              <w14:schemeClr w14:val="tx1"/>
            </w14:solidFill>
          </w14:textFill>
        </w:rPr>
        <w:t xml:space="preserve">函</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江苏金普工程咨询有限公司</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lang w:eastAsia="zh-CN"/>
          <w14:textFill>
            <w14:solidFill>
              <w14:schemeClr w14:val="tx1"/>
            </w14:solidFill>
          </w14:textFill>
        </w:rPr>
        <w:t xml:space="preserve">JSZC-320300-JSJP-G2025-0012</w:t>
      </w:r>
      <w:r>
        <w:rPr>
          <w:rFonts w:hint="eastAsia" w:ascii="宋体" w:hAnsi="宋体" w:eastAsia="宋体" w:cs="宋体"/>
          <w:color w:val="000000" w:themeColor="text1"/>
          <w:sz w:val="24"/>
          <w:highlight w:val="none"/>
          <w14:textFill>
            <w14:solidFill>
              <w14:schemeClr w14:val="tx1"/>
            </w14:solidFill>
          </w14:textFill>
        </w:rPr>
        <w:t xml:space="preserve"> ]招标文件，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姓名)代表我方</w:t>
      </w:r>
      <w:r>
        <w:rPr>
          <w:rFonts w:hint="eastAsia" w:ascii="宋体" w:hAnsi="宋体" w:eastAsia="宋体" w:cs="宋体"/>
          <w:color w:val="000000" w:themeColor="text1"/>
          <w:szCs w:val="21"/>
          <w:highlight w:val="none"/>
          <w14:textFill>
            <w14:solidFill>
              <w14:schemeClr w14:val="tx1"/>
            </w14:solidFill>
          </w14:textFill>
        </w:rPr>
        <w:t xml:space="preserve">______________</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投标人唯一投标报价见《开标一览表》。</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投标人将按招标文件的规定履行合同责任和义务。</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投标有效期为90天。</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投标人在投标初始有效期内撤回投标，其投标保证金将不退还。</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7.招标文件中关于“投标文件的密封要求”的规定由</w:t>
      </w:r>
      <w:r>
        <w:rPr>
          <w:rFonts w:hint="eastAsia" w:ascii="宋体" w:hAnsi="宋体" w:eastAsia="宋体" w:cs="宋体"/>
          <w:color w:val="000000" w:themeColor="text1"/>
          <w:sz w:val="24"/>
          <w:highlight w:val="none"/>
          <w:lang w:eastAsia="zh-CN"/>
          <w14:textFill>
            <w14:solidFill>
              <w14:schemeClr w14:val="tx1"/>
            </w14:solidFill>
          </w14:textFill>
        </w:rPr>
        <w:t xml:space="preserve">江苏金普工程咨询有限公司</w:t>
      </w:r>
      <w:r>
        <w:rPr>
          <w:rFonts w:hint="eastAsia" w:ascii="宋体" w:hAnsi="宋体" w:eastAsia="宋体" w:cs="宋体"/>
          <w:color w:val="000000" w:themeColor="text1"/>
          <w:sz w:val="24"/>
          <w:highlight w:val="none"/>
          <w14:textFill>
            <w14:solidFill>
              <w14:schemeClr w14:val="tx1"/>
            </w14:solidFill>
          </w14:textFill>
        </w:rPr>
        <w:t xml:space="preserve">解释，投标人完全理解招标文件中关于“投标文件的密封要求”的规定。</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w:t>
      </w:r>
      <w:r>
        <w:rPr>
          <w:rFonts w:hint="eastAsia" w:ascii="宋体" w:hAnsi="宋体" w:eastAsia="宋体" w:cs="宋体"/>
          <w:color w:val="000000" w:themeColor="text1"/>
          <w:sz w:val="24"/>
          <w:highlight w:val="none"/>
          <w:lang w:eastAsia="zh-CN"/>
          <w14:textFill>
            <w14:solidFill>
              <w14:schemeClr w14:val="tx1"/>
            </w14:solidFill>
          </w14:textFill>
        </w:rPr>
        <w:t xml:space="preserve">江苏金普工程咨询有限公司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有权将我单位本项目的《开标一览表》和《分项价格表》予以公示，公示的方式由</w:t>
      </w:r>
      <w:r>
        <w:rPr>
          <w:rFonts w:hint="eastAsia" w:ascii="宋体" w:hAnsi="宋体" w:eastAsia="宋体" w:cs="宋体"/>
          <w:color w:val="000000" w:themeColor="text1"/>
          <w:sz w:val="24"/>
          <w:highlight w:val="none"/>
          <w:lang w:eastAsia="zh-CN"/>
          <w14:textFill>
            <w14:solidFill>
              <w14:schemeClr w14:val="tx1"/>
            </w14:solidFill>
          </w14:textFill>
        </w:rPr>
        <w:t xml:space="preserve">江苏金普工程咨询有限公司</w:t>
      </w:r>
      <w:r>
        <w:rPr>
          <w:rFonts w:hint="eastAsia" w:ascii="宋体" w:hAnsi="宋体" w:eastAsia="宋体" w:cs="宋体"/>
          <w:color w:val="000000" w:themeColor="text1"/>
          <w:sz w:val="24"/>
          <w:highlight w:val="none"/>
          <w14:textFill>
            <w14:solidFill>
              <w14:schemeClr w14:val="tx1"/>
            </w14:solidFill>
          </w14:textFill>
        </w:rPr>
        <w:t xml:space="preserve">确定。如我单位被确定为中标、成交供应商，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江苏金普工程咨询有限公司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 与本投标有关的一切正式往来信函请寄：</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pStyle w:val="772"/>
        <w:ind w:firstLine="30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（盖电子签章）</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72"/>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72"/>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2．法定代表人授权书</w:t>
      </w:r>
      <w:r/>
    </w:p>
    <w:p>
      <w:pPr>
        <w:pStyle w:val="772"/>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法定代表人授权书</w:t>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委托人：</w:t>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地  址：</w:t>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法定代表人：               职务：</w:t>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统一社会信用代码：</w:t>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受托人：                   性别：男（女）  </w:t>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年龄：  岁                 民族：   族</w:t>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职务：</w:t>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身份证号：</w:t>
      </w:r>
      <w:r/>
    </w:p>
    <w:p>
      <w:pPr>
        <w:pStyle w:val="772"/>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lang w:eastAsia="zh-CN"/>
          <w14:textFill>
            <w14:solidFill>
              <w14:schemeClr w14:val="tx1"/>
            </w14:solidFill>
          </w14:textFill>
        </w:rPr>
        <w:t xml:space="preserve">残疾儿童康复训练功能室建设及康复设施设备采购项目</w:t>
      </w:r>
      <w:r>
        <w:rPr>
          <w:rFonts w:hint="eastAsia" w:ascii="宋体" w:hAnsi="宋体" w:eastAsia="宋体" w:cs="宋体"/>
          <w:bCs/>
          <w:color w:val="000000" w:themeColor="text1"/>
          <w:sz w:val="24"/>
          <w:highlight w:val="none"/>
          <w14:textFill>
            <w14:solidFill>
              <w14:schemeClr w14:val="tx1"/>
            </w14:solidFill>
          </w14:textFill>
        </w:rPr>
        <w:t xml:space="preserve">（项目编号：</w:t>
      </w:r>
      <w:r>
        <w:rPr>
          <w:rFonts w:hint="eastAsia" w:ascii="宋体" w:hAnsi="宋体" w:cs="宋体"/>
          <w:bCs/>
          <w:color w:val="000000" w:themeColor="text1"/>
          <w:sz w:val="24"/>
          <w:highlight w:val="none"/>
          <w:lang w:eastAsia="zh-CN"/>
          <w14:textFill>
            <w14:solidFill>
              <w14:schemeClr w14:val="tx1"/>
            </w14:solidFill>
          </w14:textFill>
        </w:rPr>
        <w:t xml:space="preserve">JSZC-320300-JSJP-G2025-0012</w:t>
      </w:r>
      <w:r>
        <w:rPr>
          <w:rFonts w:hint="eastAsia" w:ascii="宋体" w:hAnsi="宋体" w:eastAsia="宋体" w:cs="宋体"/>
          <w:bCs/>
          <w:color w:val="000000" w:themeColor="text1"/>
          <w:sz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2"/>
        <w:ind w:firstLine="63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特此授权委托。</w:t>
      </w:r>
      <w:r/>
    </w:p>
    <w:p>
      <w:pPr>
        <w:pStyle w:val="772"/>
        <w:ind w:firstLine="63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委托人（</w:t>
      </w:r>
      <w:r>
        <w:rPr>
          <w:rFonts w:hint="eastAsia" w:ascii="宋体" w:hAnsi="宋体" w:eastAsia="宋体" w:cs="宋体"/>
          <w:color w:val="000000" w:themeColor="text1"/>
          <w:sz w:val="24"/>
          <w:highlight w:val="none"/>
          <w14:textFill>
            <w14:solidFill>
              <w14:schemeClr w14:val="tx1"/>
            </w14:solidFill>
          </w14:textFill>
        </w:rPr>
        <w:t xml:space="preserve">电子签章</w:t>
      </w:r>
      <w:r>
        <w:rPr>
          <w:rFonts w:hint="eastAsia" w:ascii="宋体" w:hAnsi="宋体" w:eastAsia="宋体" w:cs="宋体"/>
          <w:bCs/>
          <w:color w:val="000000" w:themeColor="text1"/>
          <w:sz w:val="24"/>
          <w:highlight w:val="none"/>
          <w14:textFill>
            <w14:solidFill>
              <w14:schemeClr w14:val="tx1"/>
            </w14:solidFill>
          </w14:textFill>
        </w:rPr>
        <w:t xml:space="preserve">）：                 </w:t>
      </w:r>
      <w:r/>
    </w:p>
    <w:p>
      <w:pPr>
        <w:pStyle w:val="77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受托人（签字或</w:t>
      </w:r>
      <w:r>
        <w:rPr>
          <w:rFonts w:hint="eastAsia" w:ascii="宋体" w:hAnsi="宋体" w:eastAsia="宋体" w:cs="宋体"/>
          <w:color w:val="000000" w:themeColor="text1"/>
          <w:sz w:val="24"/>
          <w:highlight w:val="none"/>
          <w14:textFill>
            <w14:solidFill>
              <w14:schemeClr w14:val="tx1"/>
            </w14:solidFill>
          </w14:textFill>
        </w:rPr>
        <w:t xml:space="preserve">签章</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77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法定代表人（签字或</w:t>
      </w:r>
      <w:r>
        <w:rPr>
          <w:rFonts w:hint="eastAsia" w:ascii="宋体" w:hAnsi="宋体" w:eastAsia="宋体" w:cs="宋体"/>
          <w:color w:val="000000" w:themeColor="text1"/>
          <w:sz w:val="24"/>
          <w:highlight w:val="none"/>
          <w14:textFill>
            <w14:solidFill>
              <w14:schemeClr w14:val="tx1"/>
            </w14:solidFill>
          </w14:textFill>
        </w:rPr>
        <w:t xml:space="preserve">签章</w:t>
      </w:r>
      <w:r>
        <w:rPr>
          <w:rFonts w:hint="eastAsia" w:ascii="宋体" w:hAnsi="宋体" w:eastAsia="宋体" w:cs="宋体"/>
          <w:bCs/>
          <w:color w:val="000000" w:themeColor="text1"/>
          <w:sz w:val="24"/>
          <w:highlight w:val="none"/>
          <w14:textFill>
            <w14:solidFill>
              <w14:schemeClr w14:val="tx1"/>
            </w14:solidFill>
          </w14:textFill>
        </w:rPr>
        <w:t xml:space="preserve">）： </w:t>
      </w:r>
      <w:r/>
    </w:p>
    <w:p>
      <w:pPr>
        <w:pStyle w:val="772"/>
        <w:ind w:firstLine="72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年   月   日 </w:t>
      </w:r>
      <w:r/>
    </w:p>
    <w:p>
      <w:pPr>
        <w:pStyle w:val="7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jc w:val="cente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72"/>
        <w:jc w:val="cente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(受托人身份证扫描件附后)</w:t>
      </w:r>
      <w:r/>
    </w:p>
    <w:p>
      <w:pP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br w:type="page" w:clear="all"/>
      </w:r>
      <w:r/>
    </w:p>
    <w:p>
      <w:pPr>
        <w:pStyle w:val="771"/>
        <w:ind w:left="0" w:right="0" w:firstLine="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72"/>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3.开标一览表</w:t>
      </w:r>
      <w:r/>
    </w:p>
    <w:p>
      <w:pPr>
        <w:pStyle w:val="783"/>
        <w:spacing w:after="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残疾儿童康复训练功能室建设及康复设施设备采购项目</w:t>
      </w:r>
      <w:r/>
    </w:p>
    <w:p>
      <w:pPr>
        <w:pStyle w:val="772"/>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JSZC-320300-JSJP-G2025-0012</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772"/>
        <w:ind w:firstLine="6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737"/>
        <w:tblW w:w="1089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3"/>
        <w:gridCol w:w="1710"/>
        <w:gridCol w:w="1710"/>
        <w:gridCol w:w="1860"/>
        <w:gridCol w:w="2546"/>
      </w:tblGrid>
      <w:tr>
        <w:trPr>
          <w:cantSplit/>
          <w:jc w:val="center"/>
          <w:trHeight w:val="884"/>
        </w:trPr>
        <w:tc>
          <w:tcPr>
            <w:tcW w:w="3073"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710"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包件号</w:t>
            </w:r>
            <w:r/>
          </w:p>
        </w:tc>
        <w:tc>
          <w:tcPr>
            <w:tcW w:w="1710"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W w:w="1860"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完成期限</w:t>
            </w:r>
            <w:r>
              <w:rPr>
                <w:rFonts w:hint="eastAsia" w:ascii="宋体" w:hAnsi="宋体" w:eastAsia="宋体" w:cs="宋体"/>
                <w:color w:val="000000" w:themeColor="text1"/>
                <w:sz w:val="24"/>
                <w:highlight w:val="none"/>
                <w14:textFill>
                  <w14:solidFill>
                    <w14:schemeClr w14:val="tx1"/>
                  </w14:solidFill>
                </w14:textFill>
              </w:rPr>
              <w:t xml:space="preserve">（日历天）</w:t>
            </w:r>
            <w:r/>
          </w:p>
        </w:tc>
        <w:tc>
          <w:tcPr>
            <w:tcW w:w="2546"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投标报价（元）</w:t>
            </w:r>
            <w:r/>
          </w:p>
        </w:tc>
      </w:tr>
      <w:tr>
        <w:trPr>
          <w:cantSplit/>
          <w:jc w:val="center"/>
          <w:trHeight w:val="1413"/>
        </w:trPr>
        <w:tc>
          <w:tcPr>
            <w:tcW w:w="3073"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残疾儿童康复训练功能室建设及康复设施设备采购项目</w:t>
            </w:r>
            <w:r/>
          </w:p>
        </w:tc>
        <w:tc>
          <w:tcPr>
            <w:tcW w:w="1710" w:type="dxa"/>
            <w:vAlign w:val="center"/>
            <w:vMerge w:val="restart"/>
            <w:textDirection w:val="lrTb"/>
            <w:noWrap w:val="false"/>
          </w:tcPr>
          <w:p>
            <w:pPr>
              <w:pStyle w:val="772"/>
              <w:jc w:val="center"/>
              <w:spacing w:line="360" w:lineRule="auto"/>
              <w:rPr>
                <w:rFonts w:hint="eastAsia" w:ascii="宋体" w:hAnsi="宋体" w:cs="宋体"/>
                <w:color w:val="ff0000"/>
                <w:sz w:val="24"/>
                <w:highlight w:val="none"/>
              </w:rPr>
            </w:pPr>
            <w:r>
              <w:rPr>
                <w:rFonts w:hint="eastAsia" w:ascii="宋体" w:hAnsi="宋体" w:cs="宋体"/>
                <w:color w:val="ff0000"/>
                <w:sz w:val="24"/>
                <w:highlight w:val="none"/>
                <w:lang w:val="en-US" w:eastAsia="zh-CN"/>
              </w:rPr>
              <w:t xml:space="preserve">采购包（  ）</w:t>
            </w:r>
            <w:r/>
          </w:p>
          <w:p>
            <w:pPr>
              <w:rPr>
                <w:rFonts w:hint="default"/>
                <w:highlight w:val="none"/>
              </w:rPr>
            </w:pPr>
            <w:r>
              <w:rPr>
                <w:rFonts w:hint="default"/>
                <w:highlight w:val="none"/>
              </w:rPr>
            </w:r>
            <w:r/>
          </w:p>
        </w:tc>
        <w:tc>
          <w:tcPr>
            <w:tcW w:w="1710"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详见招标文件</w:t>
            </w:r>
            <w:r/>
          </w:p>
        </w:tc>
        <w:tc>
          <w:tcPr>
            <w:tcW w:w="1860" w:type="dxa"/>
            <w:vAlign w:val="center"/>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546" w:type="dxa"/>
            <w:vAlign w:val="center"/>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18"/>
        </w:trPr>
        <w:tc>
          <w:tcPr>
            <w:tcW w:w="3073"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1710" w:type="dxa"/>
            <w:vAlign w:val="center"/>
            <w:vMerge w:val="continue"/>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gridSpan w:val="3"/>
            <w:tcW w:w="6116" w:type="dxa"/>
            <w:vAlign w:val="center"/>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917"/>
        </w:trPr>
        <w:tc>
          <w:tcPr>
            <w:tcW w:w="3073"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免费质保期：</w:t>
            </w:r>
            <w:r/>
          </w:p>
        </w:tc>
        <w:tc>
          <w:tcPr>
            <w:tcW w:w="1710" w:type="dxa"/>
            <w:vAlign w:val="center"/>
            <w:vMerge w:val="continue"/>
            <w:textDirection w:val="lrTb"/>
            <w:noWrap w:val="false"/>
          </w:tcPr>
          <w:p>
            <w:pPr>
              <w:pStyle w:val="772"/>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tc>
        <w:tc>
          <w:tcPr>
            <w:gridSpan w:val="3"/>
            <w:tcW w:w="6116"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p>
        </w:tc>
      </w:tr>
    </w:tbl>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报价说明：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1、报价应包括</w:t>
      </w:r>
      <w:r>
        <w:rPr>
          <w:rFonts w:hint="eastAsia" w:ascii="宋体" w:hAnsi="宋体" w:cs="宋体"/>
          <w:color w:val="000000" w:themeColor="text1"/>
          <w:sz w:val="24"/>
          <w:highlight w:val="none"/>
          <w:lang w:eastAsia="zh-CN"/>
          <w14:textFill>
            <w14:solidFill>
              <w14:schemeClr w14:val="tx1"/>
            </w14:solidFill>
          </w14:textFill>
        </w:rPr>
        <w:t xml:space="preserve">招标</w:t>
      </w:r>
      <w:r>
        <w:rPr>
          <w:rFonts w:hint="eastAsia" w:ascii="宋体" w:hAnsi="宋体" w:cs="宋体"/>
          <w:color w:val="000000" w:themeColor="text1"/>
          <w:sz w:val="24"/>
          <w:highlight w:val="none"/>
          <w14:textFill>
            <w14:solidFill>
              <w14:schemeClr w14:val="tx1"/>
            </w14:solidFill>
          </w14:textFill>
        </w:rPr>
        <w:t xml:space="preserve">文件所确定的招标范围内所含的全部内容，以及为完成上述内容所需的全部费用。</w:t>
      </w:r>
      <w:r>
        <w:rPr>
          <w:rFonts w:hint="eastAsia" w:ascii="宋体" w:hAnsi="宋体" w:cs="宋体"/>
          <w:color w:val="000000" w:themeColor="text1"/>
          <w:sz w:val="24"/>
          <w:highlight w:val="none"/>
          <w:lang w:eastAsia="zh-CN"/>
          <w14:textFill>
            <w14:solidFill>
              <w14:schemeClr w14:val="tx1"/>
            </w14:solidFill>
          </w14:textFill>
        </w:rPr>
        <w:t xml:space="preserve">招标</w:t>
      </w:r>
      <w:r>
        <w:rPr>
          <w:rFonts w:hint="eastAsia" w:ascii="宋体" w:hAnsi="宋体" w:cs="宋体"/>
          <w:color w:val="000000" w:themeColor="text1"/>
          <w:sz w:val="24"/>
          <w:highlight w:val="none"/>
          <w14:textFill>
            <w14:solidFill>
              <w14:schemeClr w14:val="tx1"/>
            </w14:solidFill>
          </w14:textFill>
        </w:rPr>
        <w:t xml:space="preserve">人不再支付报价以外的任何费用。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2、报价以总价为准，大小写不一致以大写为准；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3、偏离说明：详见《偏离表》；</w:t>
      </w:r>
      <w:r/>
    </w:p>
    <w:p>
      <w:pPr>
        <w:pStyle w:val="772"/>
        <w:ind w:firstLine="30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30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（盖电子签章）</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法定代表人（负责人)或授权代表（签字或盖章）：  </w:t>
      </w:r>
      <w:r/>
    </w:p>
    <w:p>
      <w:pPr>
        <w:pStyle w:val="772"/>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72"/>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注：本开标一览表如与</w:t>
      </w:r>
      <w:r>
        <w:rPr>
          <w:rFonts w:hint="eastAsia" w:ascii="宋体" w:hAnsi="宋体" w:eastAsia="宋体" w:cs="宋体"/>
          <w:color w:val="000000" w:themeColor="text1"/>
          <w:sz w:val="24"/>
          <w:highlight w:val="none"/>
          <w14:textFill>
            <w14:solidFill>
              <w14:schemeClr w14:val="tx1"/>
            </w14:solidFill>
          </w14:textFill>
        </w:rPr>
        <w:t xml:space="preserve">政府采购客户端工具自动生成</w:t>
      </w:r>
      <w:r>
        <w:rPr>
          <w:rFonts w:hint="eastAsia" w:ascii="宋体" w:hAnsi="宋体" w:eastAsia="宋体" w:cs="宋体"/>
          <w:color w:val="000000" w:themeColor="text1"/>
          <w:sz w:val="24"/>
          <w:highlight w:val="none"/>
          <w:lang w:eastAsia="zh-CN"/>
          <w14:textFill>
            <w14:solidFill>
              <w14:schemeClr w14:val="tx1"/>
            </w14:solidFill>
          </w14:textFill>
        </w:rPr>
        <w:t xml:space="preserve">的开标一览表格式不一致，以本表为准，但投标人投标报价必须填写一致。</w:t>
      </w: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4．分项价格表</w:t>
      </w:r>
      <w:r/>
    </w:p>
    <w:p>
      <w:pPr>
        <w:pStyle w:val="772"/>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残疾儿童康复训练功能室建设及康复设施设备采购项目</w:t>
      </w:r>
      <w:r/>
    </w:p>
    <w:p>
      <w:pPr>
        <w:pStyle w:val="772"/>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JSZC-320300-JSJP-G2025-0012</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highlight w:val="none"/>
        </w:rPr>
      </w:pPr>
      <w:r>
        <w:rPr>
          <w:rFonts w:hint="eastAsia"/>
          <w:highlight w:val="none"/>
        </w:rPr>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货币单位：人民币元</w:t>
      </w:r>
      <w:r/>
    </w:p>
    <w:tbl>
      <w:tblPr>
        <w:tblStyle w:val="737"/>
        <w:tblW w:w="9482" w:type="dxa"/>
        <w:tblInd w:w="-426"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24"/>
        <w:gridCol w:w="909"/>
        <w:gridCol w:w="959"/>
        <w:gridCol w:w="1680"/>
        <w:gridCol w:w="1843"/>
        <w:gridCol w:w="551"/>
        <w:gridCol w:w="633"/>
        <w:gridCol w:w="887"/>
        <w:gridCol w:w="1296"/>
      </w:tblGrid>
      <w:tr>
        <w:trPr>
          <w:trHeight w:val="583"/>
        </w:trPr>
        <w:tc>
          <w:tcPr>
            <w:shd w:val="clear" w:color="auto" w:fill="c0c0c0"/>
            <w:tcMar>
              <w:left w:w="15" w:type="dxa"/>
              <w:top w:w="15" w:type="dxa"/>
              <w:right w:w="15" w:type="dxa"/>
              <w:bottom w:w="0" w:type="dxa"/>
            </w:tcMar>
            <w:tcW w:w="724"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shd w:val="clear" w:color="auto" w:fill="c0c0c0"/>
            <w:tcMar>
              <w:left w:w="15" w:type="dxa"/>
              <w:top w:w="15" w:type="dxa"/>
              <w:right w:w="15" w:type="dxa"/>
              <w:bottom w:w="0" w:type="dxa"/>
            </w:tcMar>
            <w:tcW w:w="909"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959"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680"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551"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shd w:val="clear" w:color="auto" w:fill="c0c0c0"/>
            <w:tcMar>
              <w:left w:w="15" w:type="dxa"/>
              <w:top w:w="15" w:type="dxa"/>
              <w:right w:w="15" w:type="dxa"/>
              <w:bottom w:w="0" w:type="dxa"/>
            </w:tcMar>
            <w:tcW w:w="633"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数量</w:t>
            </w:r>
            <w:r/>
          </w:p>
        </w:tc>
        <w:tc>
          <w:tcPr>
            <w:shd w:val="clear" w:color="auto" w:fill="c0c0c0"/>
            <w:tcMar>
              <w:left w:w="15" w:type="dxa"/>
              <w:top w:w="15" w:type="dxa"/>
              <w:right w:w="15" w:type="dxa"/>
              <w:bottom w:w="0" w:type="dxa"/>
            </w:tcMar>
            <w:tcW w:w="887"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单价</w:t>
            </w:r>
            <w:r/>
          </w:p>
        </w:tc>
        <w:tc>
          <w:tcPr>
            <w:shd w:val="clear" w:color="auto" w:fill="c0c0c0"/>
            <w:tcMar>
              <w:left w:w="15" w:type="dxa"/>
              <w:top w:w="15" w:type="dxa"/>
              <w:right w:w="15" w:type="dxa"/>
              <w:bottom w:w="0" w:type="dxa"/>
            </w:tcMar>
            <w:tcW w:w="1296" w:type="dxa"/>
            <w:vAlign w:val="center"/>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w:t>
            </w:r>
            <w:r/>
          </w:p>
        </w:tc>
      </w:tr>
      <w:tr>
        <w:trPr>
          <w:trHeight w:val="300"/>
        </w:trPr>
        <w:tc>
          <w:tcPr>
            <w:tcMar>
              <w:left w:w="15" w:type="dxa"/>
              <w:top w:w="15" w:type="dxa"/>
              <w:right w:w="15" w:type="dxa"/>
              <w:bottom w:w="0" w:type="dxa"/>
            </w:tcMar>
            <w:tcW w:w="724"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Mar>
              <w:left w:w="15" w:type="dxa"/>
              <w:top w:w="15" w:type="dxa"/>
              <w:right w:w="15" w:type="dxa"/>
              <w:bottom w:w="0" w:type="dxa"/>
            </w:tcMar>
            <w:tcW w:w="909"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59"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680" w:type="dxa"/>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843" w:type="dxa"/>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51"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33"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87"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296"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214"/>
        </w:trPr>
        <w:tc>
          <w:tcPr>
            <w:tcMar>
              <w:left w:w="15" w:type="dxa"/>
              <w:top w:w="15" w:type="dxa"/>
              <w:right w:w="15" w:type="dxa"/>
              <w:bottom w:w="0" w:type="dxa"/>
            </w:tcMar>
            <w:tcW w:w="724"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Mar>
              <w:left w:w="15" w:type="dxa"/>
              <w:top w:w="15" w:type="dxa"/>
              <w:right w:w="15" w:type="dxa"/>
              <w:bottom w:w="0" w:type="dxa"/>
            </w:tcMar>
            <w:tcW w:w="909"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59"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680" w:type="dxa"/>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843" w:type="dxa"/>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51"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33"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87"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296"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214"/>
        </w:trPr>
        <w:tc>
          <w:tcPr>
            <w:tcMar>
              <w:left w:w="15" w:type="dxa"/>
              <w:top w:w="15" w:type="dxa"/>
              <w:right w:w="15" w:type="dxa"/>
              <w:bottom w:w="0" w:type="dxa"/>
            </w:tcMar>
            <w:tcW w:w="724"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Mar>
              <w:left w:w="15" w:type="dxa"/>
              <w:top w:w="15" w:type="dxa"/>
              <w:right w:w="15" w:type="dxa"/>
              <w:bottom w:w="0" w:type="dxa"/>
            </w:tcMar>
            <w:tcW w:w="909"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59"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680" w:type="dxa"/>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843" w:type="dxa"/>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551"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33"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87"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296"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388"/>
        </w:trPr>
        <w:tc>
          <w:tcPr>
            <w:gridSpan w:val="4"/>
            <w:tcMar>
              <w:left w:w="15" w:type="dxa"/>
              <w:top w:w="15" w:type="dxa"/>
              <w:right w:w="15" w:type="dxa"/>
              <w:bottom w:w="0" w:type="dxa"/>
            </w:tcMar>
            <w:tcW w:w="4272"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总价合计（即《开标一览表》中的“总价”）</w:t>
            </w:r>
            <w:r/>
          </w:p>
        </w:tc>
        <w:tc>
          <w:tcPr>
            <w:gridSpan w:val="5"/>
            <w:tcMar>
              <w:left w:w="15" w:type="dxa"/>
              <w:top w:w="15" w:type="dxa"/>
              <w:right w:w="15" w:type="dxa"/>
              <w:bottom w:w="0" w:type="dxa"/>
            </w:tcMar>
            <w:tcW w:w="5210" w:type="dxa"/>
            <w:vAlign w:val="bottom"/>
            <w:textDirection w:val="lrTb"/>
            <w:noWrap w:val="false"/>
          </w:tcPr>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30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（盖电子签章）</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  期：   年  月  日</w:t>
      </w:r>
      <w:r/>
    </w:p>
    <w:p>
      <w:pPr>
        <w:pStyle w:val="77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276"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注：1．</w:t>
      </w:r>
      <w:r>
        <w:rPr>
          <w:rFonts w:hint="eastAsia" w:ascii="宋体" w:hAnsi="宋体" w:cs="宋体"/>
          <w:b/>
          <w:color w:val="000000" w:themeColor="text1"/>
          <w:sz w:val="24"/>
          <w:highlight w:val="none"/>
          <w14:textFill>
            <w14:solidFill>
              <w14:schemeClr w14:val="tx1"/>
            </w14:solidFill>
          </w14:textFill>
        </w:rPr>
        <w:t xml:space="preserve">如果不提供《分项价格表》将视为没有实质性响应。</w:t>
      </w:r>
      <w:r/>
    </w:p>
    <w:p>
      <w:pPr>
        <w:numPr>
          <w:ilvl w:val="0"/>
          <w:numId w:val="7"/>
        </w:numPr>
        <w:ind w:firstLine="480"/>
        <w:spacing w:line="27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对以上数据的真实性负责。</w:t>
      </w:r>
      <w:r/>
    </w:p>
    <w:p>
      <w:pPr>
        <w:numPr>
          <w:ilvl w:val="0"/>
          <w:numId w:val="7"/>
        </w:numPr>
        <w:ind w:firstLine="480"/>
        <w:spacing w:line="276"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如果按单价计算的结果与总价不一致，以总价为准。</w:t>
      </w:r>
      <w:r/>
    </w:p>
    <w:p>
      <w:pPr>
        <w:pStyle w:val="772"/>
        <w:ind w:firstLine="482"/>
        <w:spacing w:line="360" w:lineRule="auto"/>
        <w:rPr>
          <w:rFonts w:hint="eastAsia" w:ascii="宋体" w:hAnsi="宋体" w:eastAsia="宋体" w:cs="宋体"/>
          <w:b/>
          <w:iCs/>
          <w:color w:val="000000" w:themeColor="text1"/>
          <w:sz w:val="24"/>
          <w:highlight w:val="none"/>
          <w:u w:val="single"/>
          <w14:textFill>
            <w14:solidFill>
              <w14:schemeClr w14:val="tx1"/>
            </w14:solidFill>
          </w14:textFill>
        </w:rPr>
      </w:pPr>
      <w:r>
        <w:rPr>
          <w:rFonts w:hint="eastAsia" w:ascii="宋体" w:hAnsi="宋体" w:eastAsia="宋体" w:cs="宋体"/>
          <w:b/>
          <w:iCs/>
          <w:color w:val="000000" w:themeColor="text1"/>
          <w:sz w:val="24"/>
          <w:highlight w:val="none"/>
          <w:u w:val="single"/>
          <w:lang w:eastAsia="zh-CN"/>
          <w14:textFill>
            <w14:solidFill>
              <w14:schemeClr w14:val="tx1"/>
            </w14:solidFill>
          </w14:textFill>
        </w:rPr>
        <w:t xml:space="preserve">江苏金普工程咨询有限公司</w:t>
      </w:r>
      <w:r>
        <w:rPr>
          <w:rFonts w:hint="eastAsia" w:ascii="宋体" w:hAnsi="宋体" w:eastAsia="宋体" w:cs="宋体"/>
          <w:b/>
          <w:iCs/>
          <w:color w:val="000000" w:themeColor="text1"/>
          <w:sz w:val="24"/>
          <w:highlight w:val="none"/>
          <w:u w:val="single"/>
          <w14:textFill>
            <w14:solidFill>
              <w14:schemeClr w14:val="tx1"/>
            </w14:solidFill>
          </w14:textFill>
        </w:rPr>
        <w:t xml:space="preserve">有权将以上内容进行公示。</w:t>
      </w:r>
      <w:r/>
    </w:p>
    <w:p>
      <w:pPr>
        <w:pStyle w:val="772"/>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772"/>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772"/>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772"/>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772"/>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5.具备履行合同所必需的设备和专业技术能力的书面声明</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spacing w:line="360" w:lineRule="auto"/>
        <w:widowControl/>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残疾儿童康复训练功能室建设及康复设施设备采购项目</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JSZC-320300-JSJP-G2025-0012</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我单位郑重声明：我单位具备履行合同（项目名称：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残疾儿童康复训练功能室建设及康复设施设备采购项目</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JSZC-320300-JSJP-G2025-0012</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专业技术能力：</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特此声明。</w:t>
      </w:r>
      <w:r/>
    </w:p>
    <w:p>
      <w:pPr>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供应商对上述声明的真实性负责。如有虚假，将依法承担相应责任。</w:t>
      </w:r>
      <w:r/>
    </w:p>
    <w:p>
      <w:pPr>
        <w:spacing w:line="3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right="29" w:firstLine="36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投标人（电子签章）：</w:t>
      </w:r>
      <w:r/>
    </w:p>
    <w:p>
      <w:pPr>
        <w:ind w:right="29" w:firstLine="36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  年  月  日</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1"/>
        <w:ind w:left="0" w:right="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771"/>
        <w:ind w:left="0" w:right="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pStyle w:val="772"/>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6.投标人参加政府采购活动前3年内在经营活动中没有重大违法记录的书面声明</w:t>
      </w:r>
      <w:r/>
    </w:p>
    <w:p>
      <w:pPr>
        <w:pStyle w:val="772"/>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残疾儿童康复训练功能室建设及康复设施设备采购项目</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lang w:eastAsia="zh-CN"/>
          <w14:textFill>
            <w14:solidFill>
              <w14:schemeClr w14:val="tx1"/>
            </w14:solidFill>
          </w14:textFill>
        </w:rPr>
        <w:t xml:space="preserve">JSZC-320300-JSJP-G2025-0012</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772"/>
        <w:ind w:firstLine="600"/>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ind w:firstLine="3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（盖电子签章）</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72"/>
        <w:ind w:firstLine="3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72"/>
        <w:ind w:firstLine="600"/>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ind w:firstLine="600"/>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br w:type="page" w:clear="all"/>
      </w:r>
      <w:r/>
    </w:p>
    <w:p>
      <w:pPr>
        <w:pStyle w:val="772"/>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．偏离表</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残疾儿童康复训练功能室建设及康复设施设备采购项目</w:t>
      </w:r>
      <w:r/>
    </w:p>
    <w:p>
      <w:pPr>
        <w:pStyle w:val="77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JSZC-320300-JSJP-G2025-0012</w:t>
      </w:r>
      <w:r/>
    </w:p>
    <w:p>
      <w:pPr>
        <w:rPr>
          <w:rFonts w:hint="eastAsia"/>
          <w:highlight w:val="none"/>
        </w:rPr>
      </w:pPr>
      <w:r>
        <w:rPr>
          <w:rFonts w:hint="eastAsia"/>
          <w:highlight w:val="none"/>
        </w:rPr>
      </w:r>
      <w:r/>
    </w:p>
    <w:tbl>
      <w:tblPr>
        <w:tblStyle w:val="737"/>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bottom w:val="single" w:color="000000" w:sz="6" w:space="0"/>
              <w:right w:val="single" w:color="000000" w:sz="6" w:space="0"/>
            </w:tcBorders>
            <w:tcW w:w="828" w:type="dxa"/>
            <w:vAlign w:val="center"/>
            <w:textDirection w:val="lrTb"/>
            <w:noWrap w:val="false"/>
          </w:tcPr>
          <w:p>
            <w:pPr>
              <w:pStyle w:val="772"/>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W w:w="1404" w:type="dxa"/>
            <w:vAlign w:val="center"/>
            <w:textDirection w:val="lrTb"/>
            <w:noWrap w:val="false"/>
          </w:tcPr>
          <w:p>
            <w:pPr>
              <w:pStyle w:val="772"/>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left w:val="single" w:color="000000" w:sz="6" w:space="0"/>
              <w:bottom w:val="single" w:color="000000" w:sz="6" w:space="0"/>
              <w:right w:val="single" w:color="000000" w:sz="6" w:space="0"/>
            </w:tcBorders>
            <w:tcW w:w="1476" w:type="dxa"/>
            <w:vAlign w:val="center"/>
            <w:textDirection w:val="lrTb"/>
            <w:noWrap w:val="false"/>
          </w:tcPr>
          <w:p>
            <w:pPr>
              <w:pStyle w:val="772"/>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Borders>
              <w:left w:val="single" w:color="000000" w:sz="6" w:space="0"/>
              <w:bottom w:val="single" w:color="000000" w:sz="6" w:space="0"/>
              <w:right w:val="single" w:color="000000" w:sz="6" w:space="0"/>
            </w:tcBorders>
            <w:tcW w:w="1620" w:type="dxa"/>
            <w:vAlign w:val="center"/>
            <w:textDirection w:val="lrTb"/>
            <w:noWrap w:val="false"/>
          </w:tcPr>
          <w:p>
            <w:pPr>
              <w:pStyle w:val="772"/>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Borders>
              <w:left w:val="single" w:color="000000" w:sz="6" w:space="0"/>
              <w:bottom w:val="single" w:color="000000" w:sz="6" w:space="0"/>
              <w:right w:val="single" w:color="000000" w:sz="6" w:space="0"/>
            </w:tcBorders>
            <w:tcW w:w="1260" w:type="dxa"/>
            <w:vAlign w:val="center"/>
            <w:textDirection w:val="lrTb"/>
            <w:noWrap w:val="false"/>
          </w:tcPr>
          <w:p>
            <w:pPr>
              <w:pStyle w:val="772"/>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left w:val="single" w:color="000000" w:sz="6" w:space="0"/>
              <w:bottom w:val="single" w:color="000000" w:sz="6" w:space="0"/>
            </w:tcBorders>
            <w:tcW w:w="2340" w:type="dxa"/>
            <w:vAlign w:val="center"/>
            <w:textDirection w:val="lrTb"/>
            <w:noWrap w:val="false"/>
          </w:tcPr>
          <w:p>
            <w:pPr>
              <w:pStyle w:val="772"/>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34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34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34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34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34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34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34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6" w:space="0"/>
              <w:right w:val="single" w:color="000000" w:sz="6" w:space="0"/>
            </w:tcBorders>
            <w:tcW w:w="828"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04"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76"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62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26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tcBorders>
            <w:tcW w:w="2340" w:type="dxa"/>
            <w:textDirection w:val="lrTb"/>
            <w:noWrap w:val="false"/>
          </w:tcPr>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772"/>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pStyle w:val="772"/>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注：投标人应对照《第六章（采购需求）》中“技术参数要求”，逐条列在偏离表中，注明无偏离、正偏离或负偏离，并注明偏离的具体内容，否则将认为投标人接受招标文件的要求。</w:t>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30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（盖电子签章）</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br w:type="page" w:clear="all"/>
      </w:r>
      <w:r/>
    </w:p>
    <w:p>
      <w:pPr>
        <w:pStyle w:val="772"/>
        <w:jc w:val="center"/>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.中小企业声明函</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残疾儿童康复训练功能室建设及康复设施设备采购项目</w:t>
      </w:r>
      <w:r/>
    </w:p>
    <w:p>
      <w:pPr>
        <w:pStyle w:val="772"/>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 (2020)46号）的规定，本公司参加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采购活动，提供的货物全部由符合政策要求的中小企业制造。相关企业的具体情况如下：</w:t>
      </w:r>
      <w:r/>
    </w:p>
    <w:p>
      <w:pPr>
        <w:pStyle w:val="772"/>
        <w:numPr>
          <w:ilvl w:val="0"/>
          <w:numId w:val="8"/>
        </w:num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eastAsia="宋体" w:cs="宋体"/>
          <w:color w:val="000000" w:themeColor="text1"/>
          <w:sz w:val="24"/>
          <w:highlight w:val="none"/>
          <w14:textFill>
            <w14:solidFill>
              <w14:schemeClr w14:val="tx1"/>
            </w14:solidFill>
          </w14:textFill>
        </w:rPr>
        <w:t xml:space="preserve">；制造商为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 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b/>
          <w:color w:val="000000" w:themeColor="text1"/>
          <w:sz w:val="24"/>
          <w:highlight w:val="none"/>
          <w14:textFill>
            <w14:solidFill>
              <w14:schemeClr w14:val="tx1"/>
            </w14:solidFill>
          </w14:textFill>
        </w:rPr>
        <w:t xml:space="preserve">属于（□中型企业、□小型企业、□微型企业，请勾选！）</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numPr>
          <w:ilvl w:val="0"/>
          <w:numId w:val="8"/>
        </w:num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eastAsia="宋体" w:cs="宋体"/>
          <w:color w:val="000000" w:themeColor="text1"/>
          <w:sz w:val="24"/>
          <w:highlight w:val="none"/>
          <w14:textFill>
            <w14:solidFill>
              <w14:schemeClr w14:val="tx1"/>
            </w14:solidFill>
          </w14:textFill>
        </w:rPr>
        <w:t xml:space="preserve">；制造商为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 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b/>
          <w:color w:val="000000" w:themeColor="text1"/>
          <w:sz w:val="24"/>
          <w:highlight w:val="none"/>
          <w14:textFill>
            <w14:solidFill>
              <w14:schemeClr w14:val="tx1"/>
            </w14:solidFill>
          </w14:textFill>
        </w:rPr>
        <w:t xml:space="preserve">属于（□中型企业、□小型企业、□微型企业，请勾选！）</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72"/>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745"/>
        <w:ind w:left="4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745"/>
        <w:ind w:left="4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745"/>
        <w:ind w:left="4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注：本项目采购的货物属于</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工业(制造业)</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p>
      <w:pPr>
        <w:pStyle w:val="772"/>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38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企业名称（电子签章）：</w:t>
      </w:r>
      <w:r/>
    </w:p>
    <w:p>
      <w:pPr>
        <w:pStyle w:val="772"/>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     期：</w:t>
      </w:r>
      <w:r/>
    </w:p>
    <w:p>
      <w:pPr>
        <w:pStyle w:val="772"/>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56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备注：</w:t>
      </w:r>
      <w:r/>
    </w:p>
    <w:p>
      <w:pPr>
        <w:pStyle w:val="772"/>
        <w:ind w:firstLine="56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p>
      <w:pPr>
        <w:pStyle w:val="772"/>
        <w:ind w:firstLine="56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2、《中小企业声明函》查询渠道参考工业和信息化部发布的中小企业规模自测小程序。</w:t>
      </w:r>
      <w:r/>
    </w:p>
    <w:p>
      <w:pPr>
        <w:pStyle w:val="8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72"/>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t xml:space="preserve">.残疾人福利性单位声明函</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spacing w:line="360" w:lineRule="auto"/>
        <w:widowControl/>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残疾儿童康复训练功能室建设及康复设施设备采购项目</w:t>
      </w:r>
      <w:r/>
    </w:p>
    <w:p>
      <w:pPr>
        <w:pStyle w:val="77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JSZC-320300-JSJP-G2025-0012</w:t>
      </w:r>
      <w:r/>
    </w:p>
    <w:p>
      <w:pPr>
        <w:pStyle w:val="772"/>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pStyle w:val="772"/>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72"/>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772"/>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pStyle w:val="772"/>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pStyle w:val="772"/>
        <w:ind w:firstLine="3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72"/>
        <w:ind w:firstLine="3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600"/>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2"/>
        <w:ind w:firstLine="600"/>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71"/>
        <w:ind w:left="0" w:right="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81"/>
        <w:ind w:firstLine="0"/>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hAnsi="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14:textFill>
            <w14:solidFill>
              <w14:schemeClr w14:val="tx1"/>
            </w14:solidFill>
          </w14:textFill>
        </w:rPr>
        <w:t xml:space="preserve">.预付款保函支付条款</w:t>
      </w:r>
      <w:r/>
    </w:p>
    <w:p>
      <w:pPr>
        <w:pStyle w:val="772"/>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772"/>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付款条件一：提交预付款保函的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（1）合同签订且乙方向甲方出具预付款保函后个</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  XX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XX </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（2）验收合格后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 XX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772"/>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付款条件二：不提交预付款保函的</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（1）合同签订后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 XX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XX </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（2）验收合格后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 XX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7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注：1、付款条件一中，出具预付款保函后支付的合同款应当与保函金额一致。</w:t>
      </w:r>
      <w:r/>
    </w:p>
    <w:p>
      <w:pPr>
        <w:pStyle w:val="772"/>
        <w:numPr>
          <w:ilvl w:val="0"/>
          <w:numId w:val="9"/>
        </w:num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付款条件二中，预付款比例设定应符合《关于做好政府采购支持企业发展有关事项的通知》(苏财购（2020）52号)要求。</w:t>
      </w:r>
      <w:r/>
    </w:p>
    <w:p>
      <w:pPr>
        <w:pStyle w:val="771"/>
        <w:ind w:left="0" w:right="0" w:firstLine="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ind w:left="0" w:right="0" w:firstLine="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ind w:left="0" w:right="0" w:firstLine="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ind w:left="0" w:right="0" w:firstLine="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ind w:left="0" w:right="0" w:firstLine="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1"/>
        <w:ind w:left="0" w:right="0" w:firstLine="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headerReference w:type="default" r:id="rId11"/>
      <w:footerReference w:type="default" r:id="rId14"/>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angSong_GB2312">
    <w:panose1 w:val="02010609060101010101"/>
  </w:font>
  <w:font w:name="Symbol">
    <w:panose1 w:val="05050102010706020507"/>
  </w:font>
  <w:font w:name="Tahoma">
    <w:panose1 w:val="020B0604030504040204"/>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微软雅黑">
    <w:panose1 w:val="020B0503020204020204"/>
  </w:font>
  <w:font w:name="隶书">
    <w:panose1 w:val="0201050906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838"/>
      </w:rPr>
      <w:framePr w:wrap="around" w:vAnchor="text" w:hAnchor="margin" w:xAlign="center" w:y="1"/>
    </w:pPr>
    <w:r>
      <w:fldChar w:fldCharType="begin"/>
    </w:r>
    <w:r>
      <w:rPr>
        <w:rStyle w:val="838"/>
      </w:rPr>
      <w:instrText xml:space="preserve">PAGE  </w:instrText>
    </w:r>
    <w:r>
      <w:fldChar w:fldCharType="end"/>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right"/>
      <w:rPr>
        <w:rFonts w:ascii="隶书" w:eastAsia="隶书"/>
        <w:b/>
        <w:i/>
      </w:rPr>
    </w:pPr>
    <w:r>
      <w:rPr>
        <w:rFonts w:ascii="隶书" w:eastAsia="隶书"/>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fldChar w:fldCharType="begin"/>
    </w:r>
    <w:r>
      <w:instrText xml:space="preserve">PAGE \* MERGEFORMAT</w:instrText>
    </w:r>
    <w:r>
      <w:fldChar w:fldCharType="separate"/>
    </w:r>
    <w:r>
      <w:t xml:space="preserve">20</w:t>
    </w:r>
    <w: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83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6">
    <w:multiLevelType w:val="hybridMultilevel"/>
    <w:lvl w:ilvl="0">
      <w:start w:val="4"/>
      <w:numFmt w:val="chineseCounting"/>
      <w:isLgl w:val="false"/>
      <w:suff w:val="space"/>
      <w:lvlText w:val="第%1条"/>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6"/>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rPr>
      <w:rFonts w:hint="default" w:ascii="Calibri" w:hAnsi="Calibri" w:eastAsia="宋体" w:cs="Times New Roman"/>
    </w:rPr>
  </w:style>
  <w:style w:type="paragraph" w:styleId="727">
    <w:name w:val="Heading 1"/>
    <w:next w:val="726"/>
    <w:uiPriority w:val="9"/>
    <w:qFormat/>
    <w:pPr>
      <w:keepLines/>
      <w:keepNext/>
      <w:spacing w:before="480" w:after="200"/>
      <w:outlineLvl w:val="0"/>
    </w:pPr>
    <w:rPr>
      <w:rFonts w:hint="default" w:ascii="Arial" w:hAnsi="Arial" w:eastAsia="Arial" w:cs="Arial"/>
      <w:sz w:val="40"/>
      <w:szCs w:val="40"/>
    </w:rPr>
  </w:style>
  <w:style w:type="paragraph" w:styleId="728">
    <w:name w:val="Heading 2"/>
    <w:basedOn w:val="726"/>
    <w:next w:val="726"/>
    <w:uiPriority w:val="9"/>
    <w:unhideWhenUsed/>
    <w:qFormat/>
    <w:pPr>
      <w:keepLines/>
      <w:keepNext/>
      <w:spacing w:before="360" w:after="200"/>
      <w:outlineLvl w:val="1"/>
    </w:pPr>
    <w:rPr>
      <w:rFonts w:hint="default" w:ascii="Arial" w:hAnsi="Arial" w:eastAsia="Arial" w:cs="Arial"/>
      <w:sz w:val="34"/>
    </w:rPr>
  </w:style>
  <w:style w:type="paragraph" w:styleId="729">
    <w:name w:val="Heading 3"/>
    <w:next w:val="726"/>
    <w:uiPriority w:val="9"/>
    <w:unhideWhenUsed/>
    <w:qFormat/>
    <w:pPr>
      <w:keepLines/>
      <w:keepNext/>
      <w:spacing w:before="320" w:after="200"/>
      <w:outlineLvl w:val="2"/>
    </w:pPr>
    <w:rPr>
      <w:rFonts w:hint="default"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hint="default" w:ascii="Arial" w:hAnsi="Arial" w:eastAsia="Arial" w:cs="Arial"/>
      <w:b/>
      <w:bCs/>
      <w:sz w:val="26"/>
      <w:szCs w:val="26"/>
    </w:rPr>
  </w:style>
  <w:style w:type="paragraph" w:styleId="731">
    <w:name w:val="Heading 5"/>
    <w:next w:val="726"/>
    <w:uiPriority w:val="9"/>
    <w:unhideWhenUsed/>
    <w:qFormat/>
    <w:pPr>
      <w:keepLines/>
      <w:keepNext/>
      <w:spacing w:before="320" w:after="200"/>
      <w:outlineLvl w:val="4"/>
    </w:pPr>
    <w:rPr>
      <w:rFonts w:hint="default" w:ascii="Arial" w:hAnsi="Arial" w:eastAsia="Arial" w:cs="Arial"/>
      <w:b/>
      <w:bCs/>
      <w:sz w:val="24"/>
      <w:szCs w:val="24"/>
    </w:rPr>
  </w:style>
  <w:style w:type="paragraph" w:styleId="732">
    <w:name w:val="Heading 6"/>
    <w:next w:val="726"/>
    <w:uiPriority w:val="9"/>
    <w:unhideWhenUsed/>
    <w:qFormat/>
    <w:pPr>
      <w:keepLines/>
      <w:keepNext/>
      <w:spacing w:before="320" w:after="200"/>
      <w:outlineLvl w:val="5"/>
    </w:pPr>
    <w:rPr>
      <w:rFonts w:hint="default" w:ascii="Arial" w:hAnsi="Arial" w:eastAsia="Arial" w:cs="Arial"/>
      <w:b/>
      <w:bCs/>
      <w:sz w:val="22"/>
      <w:szCs w:val="22"/>
    </w:rPr>
  </w:style>
  <w:style w:type="paragraph" w:styleId="733">
    <w:name w:val="Heading 7"/>
    <w:next w:val="72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34">
    <w:name w:val="Heading 8"/>
    <w:next w:val="726"/>
    <w:uiPriority w:val="9"/>
    <w:unhideWhenUsed/>
    <w:qFormat/>
    <w:pPr>
      <w:keepLines/>
      <w:keepNext/>
      <w:spacing w:before="320" w:after="200"/>
      <w:outlineLvl w:val="7"/>
    </w:pPr>
    <w:rPr>
      <w:rFonts w:hint="default" w:ascii="Arial" w:hAnsi="Arial" w:eastAsia="Arial" w:cs="Arial"/>
      <w:i/>
      <w:iCs/>
      <w:sz w:val="22"/>
      <w:szCs w:val="22"/>
    </w:rPr>
  </w:style>
  <w:style w:type="paragraph" w:styleId="735">
    <w:name w:val="Heading 9"/>
    <w:next w:val="726"/>
    <w:uiPriority w:val="9"/>
    <w:unhideWhenUsed/>
    <w:qFormat/>
    <w:pPr>
      <w:keepLines/>
      <w:keepNext/>
      <w:spacing w:before="320" w:after="200"/>
      <w:outlineLvl w:val="8"/>
    </w:pPr>
    <w:rPr>
      <w:rFonts w:hint="default" w:ascii="Arial" w:hAnsi="Arial" w:eastAsia="Arial" w:cs="Arial"/>
      <w:i/>
      <w:iCs/>
      <w:sz w:val="21"/>
      <w:szCs w:val="21"/>
    </w:rPr>
  </w:style>
  <w:style w:type="character" w:styleId="736" w:default="1">
    <w:name w:val="Default Paragraph Font"/>
    <w:uiPriority w:val="1"/>
    <w:unhideWhenUsed/>
    <w:qFormat/>
  </w:style>
  <w:style w:type="table" w:styleId="737" w:default="1">
    <w:name w:val="Normal Table"/>
    <w:uiPriority w:val="99"/>
    <w:unhideWhenUsed/>
    <w:qFormat/>
    <w:tblPr>
      <w:tblCellMar>
        <w:left w:w="108" w:type="dxa"/>
        <w:top w:w="0" w:type="dxa"/>
        <w:right w:w="108" w:type="dxa"/>
        <w:bottom w:w="0" w:type="dxa"/>
      </w:tblCellMar>
    </w:tblPr>
  </w:style>
  <w:style w:type="paragraph" w:styleId="738">
    <w:name w:val="toc 7"/>
    <w:next w:val="726"/>
    <w:uiPriority w:val="39"/>
    <w:unhideWhenUsed/>
    <w:qFormat/>
    <w:pPr>
      <w:ind w:left="1701"/>
      <w:spacing w:after="57"/>
    </w:pPr>
    <w:rPr>
      <w:rFonts w:hint="default" w:ascii="Calibri" w:hAnsi="Calibri" w:eastAsia="宋体" w:cs="Times New Roman"/>
    </w:rPr>
  </w:style>
  <w:style w:type="paragraph" w:styleId="739">
    <w:name w:val="Normal Indent"/>
    <w:basedOn w:val="726"/>
    <w:next w:val="740"/>
    <w:uiPriority w:val="0"/>
    <w:qFormat/>
    <w:pPr>
      <w:ind w:firstLine="420"/>
      <w:spacing w:line="300" w:lineRule="auto"/>
    </w:pPr>
    <w:rPr>
      <w:rFonts w:ascii="Calibri"/>
      <w:sz w:val="21"/>
      <w:szCs w:val="24"/>
    </w:rPr>
  </w:style>
  <w:style w:type="paragraph" w:styleId="740">
    <w:name w:val="toc 4"/>
    <w:basedOn w:val="726"/>
    <w:next w:val="726"/>
    <w:uiPriority w:val="39"/>
    <w:unhideWhenUsed/>
    <w:qFormat/>
    <w:pPr>
      <w:ind w:left="850"/>
      <w:spacing w:after="57"/>
    </w:pPr>
    <w:rPr>
      <w:rFonts w:hint="default" w:ascii="Calibri" w:hAnsi="Calibri" w:eastAsia="宋体" w:cs="Times New Roman"/>
    </w:rPr>
  </w:style>
  <w:style w:type="paragraph" w:styleId="741">
    <w:name w:val="Caption"/>
    <w:next w:val="726"/>
    <w:uiPriority w:val="35"/>
    <w:unhideWhenUsed/>
    <w:qFormat/>
    <w:pPr>
      <w:spacing w:line="276" w:lineRule="auto"/>
    </w:pPr>
    <w:rPr>
      <w:rFonts w:hint="default" w:ascii="Calibri" w:hAnsi="Calibri" w:eastAsia="宋体" w:cs="Times New Roman"/>
      <w:b/>
      <w:bCs/>
      <w:color w:val="4f81bd" w:themeColor="accent1"/>
      <w:sz w:val="18"/>
      <w:szCs w:val="18"/>
      <w14:textFill>
        <w14:solidFill>
          <w14:schemeClr w14:val="accent1"/>
        </w14:solidFill>
      </w14:textFill>
    </w:rPr>
  </w:style>
  <w:style w:type="paragraph" w:styleId="742">
    <w:name w:val="index 5"/>
    <w:basedOn w:val="726"/>
    <w:next w:val="726"/>
    <w:uiPriority w:val="0"/>
    <w:qFormat/>
    <w:pPr>
      <w:ind w:left="798"/>
    </w:pPr>
    <w:rPr>
      <w:rFonts w:ascii="Calibri" w:hAnsi="Calibri"/>
    </w:rPr>
  </w:style>
  <w:style w:type="paragraph" w:styleId="743">
    <w:name w:val="annotation text"/>
    <w:basedOn w:val="726"/>
    <w:uiPriority w:val="99"/>
    <w:semiHidden/>
    <w:unhideWhenUsed/>
    <w:qFormat/>
    <w:pPr>
      <w:jc w:val="left"/>
    </w:pPr>
  </w:style>
  <w:style w:type="paragraph" w:styleId="744">
    <w:name w:val="Body Text"/>
    <w:basedOn w:val="726"/>
    <w:link w:val="1031"/>
    <w:uiPriority w:val="0"/>
    <w:unhideWhenUsed/>
    <w:qFormat/>
    <w:pPr>
      <w:jc w:val="both"/>
      <w:spacing w:after="120"/>
      <w:widowControl w:val="off"/>
    </w:pPr>
    <w:rPr>
      <w:rFonts w:ascii="Times New Roman" w:hAnsi="Times New Roman"/>
      <w:sz w:val="21"/>
      <w:szCs w:val="24"/>
    </w:rPr>
  </w:style>
  <w:style w:type="paragraph" w:styleId="745">
    <w:name w:val="Body Text Indent"/>
    <w:basedOn w:val="726"/>
    <w:next w:val="746"/>
    <w:link w:val="1033"/>
    <w:uiPriority w:val="99"/>
    <w:unhideWhenUsed/>
    <w:qFormat/>
    <w:pPr>
      <w:ind w:left="420"/>
      <w:spacing w:after="120"/>
    </w:pPr>
  </w:style>
  <w:style w:type="paragraph" w:styleId="746">
    <w:name w:val="envelope return"/>
    <w:basedOn w:val="726"/>
    <w:uiPriority w:val="0"/>
    <w:qFormat/>
    <w:rPr>
      <w:rFonts w:ascii="Arial" w:hAnsi="Arial" w:cs="Arial"/>
    </w:rPr>
  </w:style>
  <w:style w:type="paragraph" w:styleId="747">
    <w:name w:val="Block Text"/>
    <w:basedOn w:val="726"/>
    <w:uiPriority w:val="0"/>
    <w:qFormat/>
    <w:pPr>
      <w:ind w:left="256" w:right="6" w:firstLine="624"/>
    </w:pPr>
    <w:rPr>
      <w:rFonts w:eastAsia="仿宋_GB2312"/>
      <w:sz w:val="28"/>
    </w:rPr>
  </w:style>
  <w:style w:type="paragraph" w:styleId="748">
    <w:name w:val="toc 5"/>
    <w:next w:val="726"/>
    <w:uiPriority w:val="39"/>
    <w:unhideWhenUsed/>
    <w:qFormat/>
    <w:pPr>
      <w:ind w:left="1134"/>
      <w:spacing w:after="57"/>
    </w:pPr>
    <w:rPr>
      <w:rFonts w:hint="default" w:ascii="Calibri" w:hAnsi="Calibri" w:eastAsia="宋体" w:cs="Times New Roman"/>
    </w:rPr>
  </w:style>
  <w:style w:type="paragraph" w:styleId="749">
    <w:name w:val="toc 3"/>
    <w:next w:val="726"/>
    <w:uiPriority w:val="39"/>
    <w:unhideWhenUsed/>
    <w:qFormat/>
    <w:pPr>
      <w:ind w:left="567"/>
      <w:spacing w:after="57"/>
    </w:pPr>
    <w:rPr>
      <w:rFonts w:hint="default" w:ascii="Calibri" w:hAnsi="Calibri" w:eastAsia="宋体" w:cs="Times New Roman"/>
    </w:rPr>
  </w:style>
  <w:style w:type="paragraph" w:styleId="750">
    <w:name w:val="toc 8"/>
    <w:next w:val="726"/>
    <w:uiPriority w:val="39"/>
    <w:unhideWhenUsed/>
    <w:qFormat/>
    <w:pPr>
      <w:ind w:left="1984"/>
      <w:spacing w:after="57"/>
    </w:pPr>
    <w:rPr>
      <w:rFonts w:hint="default" w:ascii="Calibri" w:hAnsi="Calibri" w:eastAsia="宋体" w:cs="Times New Roman"/>
    </w:rPr>
  </w:style>
  <w:style w:type="paragraph" w:styleId="751">
    <w:name w:val="endnote text"/>
    <w:uiPriority w:val="99"/>
    <w:unhideWhenUsed/>
    <w:qFormat/>
    <w:rPr>
      <w:rFonts w:hint="default" w:ascii="Calibri" w:hAnsi="Calibri" w:eastAsia="宋体" w:cs="Times New Roman"/>
    </w:rPr>
  </w:style>
  <w:style w:type="paragraph" w:styleId="752">
    <w:name w:val="Balloon Text"/>
    <w:basedOn w:val="726"/>
    <w:link w:val="1028"/>
    <w:uiPriority w:val="99"/>
    <w:unhideWhenUsed/>
    <w:qFormat/>
    <w:rPr>
      <w:sz w:val="18"/>
      <w:szCs w:val="18"/>
    </w:rPr>
  </w:style>
  <w:style w:type="paragraph" w:styleId="753">
    <w:name w:val="Footer"/>
    <w:uiPriority w:val="99"/>
    <w:unhideWhenUsed/>
    <w:qFormat/>
    <w:pPr>
      <w:tabs>
        <w:tab w:val="center" w:pos="7143" w:leader="none"/>
        <w:tab w:val="right" w:pos="14287" w:leader="none"/>
      </w:tabs>
    </w:pPr>
    <w:rPr>
      <w:rFonts w:hint="default" w:ascii="Calibri" w:hAnsi="Calibri" w:eastAsia="宋体" w:cs="Times New Roman"/>
    </w:rPr>
  </w:style>
  <w:style w:type="paragraph" w:styleId="754">
    <w:name w:val="Header"/>
    <w:uiPriority w:val="99"/>
    <w:unhideWhenUsed/>
    <w:qFormat/>
    <w:pPr>
      <w:tabs>
        <w:tab w:val="center" w:pos="7143" w:leader="none"/>
        <w:tab w:val="right" w:pos="14287" w:leader="none"/>
      </w:tabs>
    </w:pPr>
    <w:rPr>
      <w:rFonts w:hint="default" w:ascii="Calibri" w:hAnsi="Calibri" w:eastAsia="宋体" w:cs="Times New Roman"/>
    </w:rPr>
  </w:style>
  <w:style w:type="paragraph" w:styleId="755">
    <w:name w:val="toc 1"/>
    <w:basedOn w:val="726"/>
    <w:next w:val="726"/>
    <w:uiPriority w:val="39"/>
    <w:unhideWhenUsed/>
    <w:qFormat/>
    <w:pPr>
      <w:spacing w:after="57"/>
    </w:pPr>
  </w:style>
  <w:style w:type="paragraph" w:styleId="756">
    <w:name w:val="Subtitle"/>
    <w:uiPriority w:val="11"/>
    <w:qFormat/>
    <w:pPr>
      <w:spacing w:before="200" w:after="200"/>
    </w:pPr>
    <w:rPr>
      <w:rFonts w:hint="default" w:ascii="Calibri" w:hAnsi="Calibri" w:eastAsia="宋体" w:cs="Times New Roman"/>
      <w:sz w:val="24"/>
      <w:szCs w:val="24"/>
    </w:rPr>
  </w:style>
  <w:style w:type="paragraph" w:styleId="757">
    <w:name w:val="footnote text"/>
    <w:basedOn w:val="726"/>
    <w:next w:val="742"/>
    <w:uiPriority w:val="99"/>
    <w:unhideWhenUsed/>
    <w:qFormat/>
    <w:pPr>
      <w:spacing w:after="40"/>
    </w:pPr>
    <w:rPr>
      <w:rFonts w:hint="default" w:ascii="Calibri" w:hAnsi="Calibri" w:eastAsia="宋体" w:cs="Times New Roman"/>
      <w:sz w:val="18"/>
    </w:rPr>
  </w:style>
  <w:style w:type="paragraph" w:styleId="758">
    <w:name w:val="toc 6"/>
    <w:next w:val="726"/>
    <w:uiPriority w:val="39"/>
    <w:unhideWhenUsed/>
    <w:qFormat/>
    <w:pPr>
      <w:ind w:left="1417"/>
      <w:spacing w:after="57"/>
    </w:pPr>
    <w:rPr>
      <w:rFonts w:hint="default" w:ascii="Calibri" w:hAnsi="Calibri" w:eastAsia="宋体" w:cs="Times New Roman"/>
    </w:rPr>
  </w:style>
  <w:style w:type="paragraph" w:styleId="759">
    <w:name w:val="table of figures"/>
    <w:next w:val="726"/>
    <w:uiPriority w:val="99"/>
    <w:unhideWhenUsed/>
    <w:qFormat/>
    <w:rPr>
      <w:rFonts w:hint="default" w:ascii="Calibri" w:hAnsi="Calibri" w:eastAsia="宋体" w:cs="Times New Roman"/>
    </w:rPr>
  </w:style>
  <w:style w:type="paragraph" w:styleId="760">
    <w:name w:val="toc 2"/>
    <w:next w:val="726"/>
    <w:uiPriority w:val="39"/>
    <w:unhideWhenUsed/>
    <w:qFormat/>
    <w:pPr>
      <w:ind w:left="283"/>
      <w:spacing w:after="57"/>
    </w:pPr>
    <w:rPr>
      <w:rFonts w:hint="default" w:ascii="Calibri" w:hAnsi="Calibri" w:eastAsia="宋体" w:cs="Times New Roman"/>
    </w:rPr>
  </w:style>
  <w:style w:type="paragraph" w:styleId="761">
    <w:name w:val="toc 9"/>
    <w:next w:val="726"/>
    <w:uiPriority w:val="39"/>
    <w:unhideWhenUsed/>
    <w:qFormat/>
    <w:pPr>
      <w:ind w:left="2268"/>
      <w:spacing w:after="57"/>
    </w:pPr>
    <w:rPr>
      <w:rFonts w:hint="default" w:ascii="Calibri" w:hAnsi="Calibri" w:eastAsia="宋体" w:cs="Times New Roman"/>
    </w:rPr>
  </w:style>
  <w:style w:type="paragraph" w:styleId="762">
    <w:name w:val="Normal (Web)"/>
    <w:basedOn w:val="726"/>
    <w:uiPriority w:val="99"/>
    <w:qFormat/>
    <w:pPr>
      <w:jc w:val="left"/>
      <w:spacing w:before="100" w:beforeAutospacing="1" w:after="100" w:afterAutospacing="1"/>
      <w:widowControl/>
    </w:pPr>
    <w:rPr>
      <w:rFonts w:ascii="宋体" w:hAnsi="宋体" w:cs="宋体"/>
      <w:sz w:val="24"/>
    </w:rPr>
  </w:style>
  <w:style w:type="paragraph" w:styleId="763">
    <w:name w:val="Title"/>
    <w:uiPriority w:val="10"/>
    <w:qFormat/>
    <w:pPr>
      <w:contextualSpacing/>
      <w:spacing w:before="300" w:after="200"/>
    </w:pPr>
    <w:rPr>
      <w:rFonts w:hint="default" w:ascii="Calibri" w:hAnsi="Calibri" w:eastAsia="宋体" w:cs="Times New Roman"/>
      <w:sz w:val="48"/>
      <w:szCs w:val="48"/>
    </w:rPr>
  </w:style>
  <w:style w:type="paragraph" w:styleId="764">
    <w:name w:val="Body Text First Indent 2"/>
    <w:basedOn w:val="745"/>
    <w:uiPriority w:val="99"/>
    <w:unhideWhenUsed/>
    <w:qFormat/>
    <w:pPr>
      <w:ind w:firstLine="420"/>
    </w:pPr>
  </w:style>
  <w:style w:type="table" w:styleId="7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unhideWhenUsed/>
    <w:qFormat/>
    <w:rPr>
      <w:vertAlign w:val="superscript"/>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paragraph" w:styleId="769" w:customStyle="1">
    <w:name w:val="脚注文本11"/>
    <w:basedOn w:val="770"/>
    <w:next w:val="773"/>
    <w:uiPriority w:val="0"/>
    <w:qFormat/>
    <w:pPr>
      <w:jc w:val="left"/>
    </w:pPr>
    <w:rPr>
      <w:rFonts w:ascii="宋体" w:eastAsia="Times New Roman"/>
      <w:sz w:val="18"/>
      <w:szCs w:val="18"/>
    </w:rPr>
  </w:style>
  <w:style w:type="paragraph" w:styleId="770" w:customStyle="1">
    <w:name w:val="正文11"/>
    <w:next w:val="771"/>
    <w:link w:val="1047"/>
    <w:uiPriority w:val="0"/>
    <w:qFormat/>
    <w:pPr>
      <w:jc w:val="both"/>
      <w:widowControl w:val="off"/>
    </w:pPr>
    <w:rPr>
      <w:rFonts w:hint="default" w:ascii="Times New Roman" w:hAnsi="Times New Roman" w:eastAsia="宋体" w:cs="Times New Roman"/>
      <w:sz w:val="21"/>
      <w:szCs w:val="24"/>
    </w:rPr>
  </w:style>
  <w:style w:type="paragraph" w:styleId="771" w:customStyle="1">
    <w:name w:val="文本块1"/>
    <w:basedOn w:val="772"/>
    <w:uiPriority w:val="0"/>
    <w:qFormat/>
    <w:pPr>
      <w:ind w:left="256" w:right="6" w:firstLine="624"/>
    </w:pPr>
    <w:rPr>
      <w:rFonts w:eastAsia="仿宋"/>
      <w:sz w:val="28"/>
      <w:szCs w:val="20"/>
    </w:rPr>
  </w:style>
  <w:style w:type="paragraph" w:styleId="772" w:customStyle="1">
    <w:name w:val="正文111"/>
    <w:next w:val="726"/>
    <w:link w:val="878"/>
    <w:uiPriority w:val="0"/>
    <w:qFormat/>
    <w:pPr>
      <w:jc w:val="both"/>
      <w:widowControl w:val="off"/>
    </w:pPr>
    <w:rPr>
      <w:rFonts w:hint="default" w:ascii="Times New Roman" w:hAnsi="Times New Roman" w:eastAsia="宋体" w:cs="Times New Roman"/>
      <w:sz w:val="21"/>
      <w:szCs w:val="24"/>
    </w:rPr>
  </w:style>
  <w:style w:type="paragraph" w:styleId="773" w:customStyle="1">
    <w:name w:val="索引 511"/>
    <w:basedOn w:val="770"/>
    <w:next w:val="726"/>
    <w:uiPriority w:val="0"/>
    <w:qFormat/>
    <w:pPr>
      <w:ind w:left="798"/>
      <w:jc w:val="left"/>
    </w:pPr>
    <w:rPr>
      <w:rFonts w:ascii="Calibri" w:hAnsi="Calibri"/>
    </w:rPr>
  </w:style>
  <w:style w:type="paragraph" w:styleId="774" w:customStyle="1">
    <w:name w:val="目录 11"/>
    <w:basedOn w:val="775"/>
    <w:next w:val="770"/>
    <w:uiPriority w:val="0"/>
    <w:qFormat/>
    <w:pPr>
      <w:jc w:val="left"/>
      <w:spacing w:after="100" w:line="259" w:lineRule="auto"/>
      <w:widowControl/>
    </w:pPr>
    <w:rPr>
      <w:rFonts w:ascii="Calibri" w:hAnsi="Calibri"/>
      <w:sz w:val="22"/>
      <w:szCs w:val="22"/>
    </w:rPr>
  </w:style>
  <w:style w:type="paragraph" w:styleId="775" w:customStyle="1">
    <w:name w:val="正文1"/>
    <w:basedOn w:val="772"/>
    <w:next w:val="776"/>
    <w:uiPriority w:val="0"/>
    <w:qFormat/>
    <w:rPr>
      <w:rFonts w:hint="default" w:ascii="Times New Roman" w:hAnsi="Times New Roman" w:eastAsia="宋体" w:cs="Times New Roman"/>
    </w:rPr>
  </w:style>
  <w:style w:type="paragraph" w:styleId="776" w:customStyle="1">
    <w:name w:val="脚注文本1"/>
    <w:basedOn w:val="777"/>
    <w:next w:val="782"/>
    <w:uiPriority w:val="0"/>
    <w:qFormat/>
    <w:pPr>
      <w:jc w:val="left"/>
    </w:pPr>
    <w:rPr>
      <w:rFonts w:ascii="宋体" w:eastAsia="Times New Roman"/>
      <w:sz w:val="18"/>
      <w:szCs w:val="18"/>
    </w:rPr>
  </w:style>
  <w:style w:type="paragraph" w:styleId="777" w:customStyle="1">
    <w:name w:val="正文12"/>
    <w:next w:val="778"/>
    <w:link w:val="1034"/>
    <w:uiPriority w:val="0"/>
    <w:qFormat/>
    <w:pPr>
      <w:jc w:val="both"/>
      <w:widowControl w:val="off"/>
    </w:pPr>
    <w:rPr>
      <w:rFonts w:hint="default" w:ascii="Calibri" w:hAnsi="Calibri" w:eastAsia="Calibri" w:cs="Times New Roman"/>
      <w:sz w:val="21"/>
      <w:szCs w:val="24"/>
      <w:lang w:val="en-US" w:eastAsia="zh-CN" w:bidi="ar-SA"/>
    </w:rPr>
  </w:style>
  <w:style w:type="paragraph" w:styleId="778" w:customStyle="1">
    <w:name w:val="正文文本111"/>
    <w:basedOn w:val="777"/>
    <w:next w:val="779"/>
    <w:uiPriority w:val="0"/>
    <w:qFormat/>
  </w:style>
  <w:style w:type="paragraph" w:styleId="779" w:customStyle="1">
    <w:name w:val="一级条标题"/>
    <w:basedOn w:val="780"/>
    <w:next w:val="7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0" w:customStyle="1">
    <w:name w:val="章标题"/>
    <w:next w:val="72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81" w:customStyle="1">
    <w:name w:val="段"/>
    <w:basedOn w:val="775"/>
    <w:next w:val="726"/>
    <w:uiPriority w:val="0"/>
    <w:qFormat/>
    <w:pPr>
      <w:ind w:firstLine="200"/>
      <w:widowControl/>
    </w:pPr>
    <w:rPr>
      <w:rFonts w:ascii="宋体"/>
      <w:sz w:val="20"/>
      <w:szCs w:val="20"/>
    </w:rPr>
  </w:style>
  <w:style w:type="paragraph" w:styleId="782" w:customStyle="1">
    <w:name w:val="索引 51"/>
    <w:basedOn w:val="772"/>
    <w:next w:val="775"/>
    <w:uiPriority w:val="0"/>
    <w:qFormat/>
    <w:pPr>
      <w:ind w:left="798"/>
      <w:jc w:val="left"/>
    </w:pPr>
    <w:rPr>
      <w:rFonts w:ascii="Calibri" w:hAnsi="Calibri"/>
    </w:rPr>
  </w:style>
  <w:style w:type="paragraph" w:styleId="783" w:customStyle="1">
    <w:name w:val="目录 111"/>
    <w:basedOn w:val="772"/>
    <w:next w:val="726"/>
    <w:uiPriority w:val="0"/>
    <w:qFormat/>
    <w:pPr>
      <w:spacing w:after="57"/>
    </w:pPr>
  </w:style>
  <w:style w:type="paragraph" w:styleId="784" w:customStyle="1">
    <w:name w:val="Default"/>
    <w:uiPriority w:val="0"/>
    <w:qFormat/>
    <w:pPr>
      <w:widowControl w:val="off"/>
    </w:pPr>
    <w:rPr>
      <w:rFonts w:hint="default" w:ascii="Times New Roman" w:hAnsi="Times New Roman" w:eastAsia="宋体" w:cs="Calibri"/>
      <w:color w:val="000000"/>
      <w:sz w:val="24"/>
      <w:szCs w:val="24"/>
    </w:rPr>
  </w:style>
  <w:style w:type="table" w:styleId="785"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Heading"/>
    <w:uiPriority w:val="39"/>
    <w:unhideWhenUsed/>
    <w:qFormat/>
    <w:rPr>
      <w:rFonts w:hint="default" w:ascii="Times New Roman" w:hAnsi="Times New Roman" w:eastAsia="宋体" w:cs="Times New Roman"/>
    </w:rPr>
  </w:style>
  <w:style w:type="table" w:styleId="805" w:customStyle="1">
    <w:name w:val="无格式表格 11"/>
    <w:basedOn w:val="737"/>
    <w:uiPriority w:val="0"/>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807"/>
    <w:uiPriority w:val="0"/>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普通表格1"/>
    <w:uiPriority w:val="0"/>
    <w:qFormat/>
    <w:tblPr>
      <w:tblCellMar>
        <w:left w:w="0" w:type="dxa"/>
        <w:top w:w="0" w:type="dxa"/>
        <w:right w:w="0" w:type="dxa"/>
        <w:bottom w:w="0" w:type="dxa"/>
      </w:tblCellMar>
    </w:tblPr>
  </w:style>
  <w:style w:type="table" w:styleId="808" w:customStyle="1">
    <w:name w:val="无格式表格 31"/>
    <w:basedOn w:val="737"/>
    <w:uiPriority w:val="0"/>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807"/>
    <w:uiPriority w:val="0"/>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807"/>
    <w:uiPriority w:val="0"/>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807"/>
    <w:uiPriority w:val="0"/>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807"/>
    <w:uiPriority w:val="0"/>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807"/>
    <w:uiPriority w:val="0"/>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807"/>
    <w:uiPriority w:val="0"/>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807"/>
    <w:uiPriority w:val="0"/>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807"/>
    <w:uiPriority w:val="0"/>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网格表 7 彩色1"/>
    <w:basedOn w:val="807"/>
    <w:uiPriority w:val="0"/>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807"/>
    <w:uiPriority w:val="0"/>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807"/>
    <w:uiPriority w:val="0"/>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清单表 31"/>
    <w:basedOn w:val="807"/>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807"/>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807"/>
    <w:uiPriority w:val="0"/>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清单表 6 彩色1"/>
    <w:basedOn w:val="807"/>
    <w:uiPriority w:val="0"/>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清单表 7 彩色1"/>
    <w:basedOn w:val="737"/>
    <w:uiPriority w:val="0"/>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5" w:customStyle="1">
    <w:name w:val="TOC 标题1"/>
    <w:uiPriority w:val="39"/>
    <w:unhideWhenUsed/>
    <w:qFormat/>
    <w:rPr>
      <w:rFonts w:hint="default" w:ascii="Calibri" w:hAnsi="Calibri" w:eastAsia="宋体" w:cs="Times New Roman"/>
    </w:rPr>
  </w:style>
  <w:style w:type="paragraph" w:styleId="826" w:customStyle="1">
    <w:name w:val="正文文本1"/>
    <w:basedOn w:val="775"/>
    <w:next w:val="779"/>
    <w:uiPriority w:val="0"/>
    <w:qFormat/>
    <w:pPr>
      <w:spacing w:after="120"/>
    </w:pPr>
  </w:style>
  <w:style w:type="paragraph" w:styleId="827" w:customStyle="1">
    <w:name w:val="标题 11"/>
    <w:basedOn w:val="772"/>
    <w:next w:val="775"/>
    <w:uiPriority w:val="0"/>
    <w:qFormat/>
    <w:pPr>
      <w:keepLines/>
      <w:keepNext/>
      <w:spacing w:before="340" w:after="330" w:line="578" w:lineRule="auto"/>
      <w:outlineLvl w:val="0"/>
    </w:pPr>
    <w:rPr>
      <w:b/>
      <w:bCs/>
      <w:sz w:val="44"/>
      <w:szCs w:val="44"/>
    </w:rPr>
  </w:style>
  <w:style w:type="paragraph" w:styleId="828" w:customStyle="1">
    <w:name w:val="标题 21"/>
    <w:basedOn w:val="772"/>
    <w:next w:val="772"/>
    <w:link w:val="841"/>
    <w:uiPriority w:val="0"/>
    <w:qFormat/>
    <w:pPr>
      <w:keepLines/>
      <w:keepNext/>
      <w:spacing w:before="360" w:after="200"/>
      <w:outlineLvl w:val="1"/>
    </w:pPr>
    <w:rPr>
      <w:rFonts w:ascii="Arial" w:hAnsi="Arial" w:eastAsia="Arial"/>
      <w:sz w:val="34"/>
    </w:rPr>
  </w:style>
  <w:style w:type="paragraph" w:styleId="829" w:customStyle="1">
    <w:name w:val="标题 31"/>
    <w:basedOn w:val="772"/>
    <w:next w:val="772"/>
    <w:link w:val="860"/>
    <w:uiPriority w:val="0"/>
    <w:qFormat/>
    <w:pPr>
      <w:keepLines/>
      <w:keepNext/>
      <w:spacing w:before="320" w:after="200"/>
      <w:outlineLvl w:val="2"/>
    </w:pPr>
    <w:rPr>
      <w:rFonts w:ascii="Arial" w:hAnsi="Arial" w:eastAsia="Arial"/>
      <w:sz w:val="30"/>
      <w:szCs w:val="30"/>
    </w:rPr>
  </w:style>
  <w:style w:type="paragraph" w:styleId="830" w:customStyle="1">
    <w:name w:val="标题 41"/>
    <w:basedOn w:val="772"/>
    <w:next w:val="77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31" w:customStyle="1">
    <w:name w:val="标题 51"/>
    <w:basedOn w:val="772"/>
    <w:next w:val="772"/>
    <w:link w:val="847"/>
    <w:uiPriority w:val="0"/>
    <w:qFormat/>
    <w:pPr>
      <w:keepLines/>
      <w:keepNext/>
      <w:spacing w:before="320" w:after="200"/>
      <w:outlineLvl w:val="4"/>
    </w:pPr>
    <w:rPr>
      <w:rFonts w:ascii="Arial" w:hAnsi="Arial" w:eastAsia="Arial"/>
      <w:b/>
      <w:bCs/>
      <w:sz w:val="24"/>
    </w:rPr>
  </w:style>
  <w:style w:type="paragraph" w:styleId="832" w:customStyle="1">
    <w:name w:val="标题 61"/>
    <w:basedOn w:val="772"/>
    <w:next w:val="772"/>
    <w:link w:val="855"/>
    <w:uiPriority w:val="0"/>
    <w:qFormat/>
    <w:pPr>
      <w:keepLines/>
      <w:keepNext/>
      <w:spacing w:before="320" w:after="200"/>
      <w:outlineLvl w:val="5"/>
    </w:pPr>
    <w:rPr>
      <w:rFonts w:ascii="Arial" w:hAnsi="Arial" w:eastAsia="Arial"/>
      <w:b/>
      <w:bCs/>
      <w:sz w:val="22"/>
      <w:szCs w:val="22"/>
    </w:rPr>
  </w:style>
  <w:style w:type="paragraph" w:styleId="833" w:customStyle="1">
    <w:name w:val="标题 71"/>
    <w:basedOn w:val="772"/>
    <w:next w:val="772"/>
    <w:link w:val="866"/>
    <w:uiPriority w:val="0"/>
    <w:qFormat/>
    <w:pPr>
      <w:keepLines/>
      <w:keepNext/>
      <w:spacing w:before="320" w:after="200"/>
      <w:outlineLvl w:val="6"/>
    </w:pPr>
    <w:rPr>
      <w:rFonts w:ascii="Arial" w:hAnsi="Arial" w:eastAsia="Arial"/>
      <w:b/>
      <w:bCs/>
      <w:i/>
      <w:iCs/>
      <w:sz w:val="22"/>
      <w:szCs w:val="22"/>
    </w:rPr>
  </w:style>
  <w:style w:type="paragraph" w:styleId="834" w:customStyle="1">
    <w:name w:val="标题 81"/>
    <w:basedOn w:val="772"/>
    <w:next w:val="772"/>
    <w:link w:val="856"/>
    <w:uiPriority w:val="0"/>
    <w:qFormat/>
    <w:pPr>
      <w:keepLines/>
      <w:keepNext/>
      <w:spacing w:before="320" w:after="200"/>
      <w:outlineLvl w:val="7"/>
    </w:pPr>
    <w:rPr>
      <w:rFonts w:ascii="Arial" w:hAnsi="Arial" w:eastAsia="Arial"/>
      <w:i/>
      <w:iCs/>
      <w:sz w:val="22"/>
      <w:szCs w:val="22"/>
    </w:rPr>
  </w:style>
  <w:style w:type="paragraph" w:styleId="835" w:customStyle="1">
    <w:name w:val="标题 91"/>
    <w:basedOn w:val="772"/>
    <w:next w:val="772"/>
    <w:link w:val="849"/>
    <w:uiPriority w:val="0"/>
    <w:qFormat/>
    <w:pPr>
      <w:keepLines/>
      <w:keepNext/>
      <w:spacing w:before="320" w:after="200"/>
      <w:outlineLvl w:val="8"/>
    </w:pPr>
    <w:rPr>
      <w:rFonts w:ascii="Arial" w:hAnsi="Arial" w:eastAsia="Arial"/>
      <w:i/>
      <w:iCs/>
      <w:szCs w:val="21"/>
    </w:rPr>
  </w:style>
  <w:style w:type="character" w:styleId="836" w:customStyle="1">
    <w:name w:val="默认段落字体1"/>
    <w:uiPriority w:val="0"/>
    <w:qFormat/>
  </w:style>
  <w:style w:type="character" w:styleId="837" w:customStyle="1">
    <w:name w:val="超链接1"/>
    <w:basedOn w:val="836"/>
    <w:uiPriority w:val="0"/>
    <w:qFormat/>
    <w:rPr>
      <w:color w:val="0000ff"/>
      <w:u w:val="single"/>
    </w:rPr>
  </w:style>
  <w:style w:type="character" w:styleId="838" w:customStyle="1">
    <w:name w:val="页码1"/>
    <w:basedOn w:val="836"/>
    <w:uiPriority w:val="0"/>
    <w:qFormat/>
  </w:style>
  <w:style w:type="character" w:styleId="839" w:customStyle="1">
    <w:name w:val="Heading 8 Char"/>
    <w:basedOn w:val="836"/>
    <w:uiPriority w:val="0"/>
    <w:qFormat/>
    <w:rPr>
      <w:rFonts w:ascii="Arial" w:hAnsi="Arial" w:eastAsia="Arial"/>
      <w:i/>
      <w:iCs/>
      <w:sz w:val="22"/>
      <w:szCs w:val="22"/>
    </w:rPr>
  </w:style>
  <w:style w:type="character" w:styleId="840" w:customStyle="1">
    <w:name w:val="Footer Char"/>
    <w:basedOn w:val="836"/>
    <w:uiPriority w:val="0"/>
    <w:qFormat/>
  </w:style>
  <w:style w:type="character" w:styleId="841" w:customStyle="1">
    <w:name w:val="标题 2 Char"/>
    <w:basedOn w:val="836"/>
    <w:link w:val="828"/>
    <w:uiPriority w:val="0"/>
    <w:qFormat/>
    <w:rPr>
      <w:rFonts w:ascii="Arial" w:hAnsi="Arial" w:eastAsia="Arial"/>
      <w:sz w:val="34"/>
    </w:rPr>
  </w:style>
  <w:style w:type="character" w:styleId="842" w:customStyle="1">
    <w:name w:val="副标题 Char"/>
    <w:basedOn w:val="836"/>
    <w:link w:val="843"/>
    <w:uiPriority w:val="0"/>
    <w:qFormat/>
    <w:rPr>
      <w:sz w:val="24"/>
      <w:szCs w:val="24"/>
    </w:rPr>
  </w:style>
  <w:style w:type="paragraph" w:styleId="843" w:customStyle="1">
    <w:name w:val="副标题1"/>
    <w:basedOn w:val="772"/>
    <w:next w:val="772"/>
    <w:link w:val="842"/>
    <w:uiPriority w:val="0"/>
    <w:qFormat/>
    <w:pPr>
      <w:spacing w:before="200" w:after="200"/>
    </w:pPr>
    <w:rPr>
      <w:sz w:val="24"/>
    </w:rPr>
  </w:style>
  <w:style w:type="character" w:styleId="844" w:customStyle="1">
    <w:name w:val="Quote Char"/>
    <w:uiPriority w:val="0"/>
    <w:qFormat/>
    <w:rPr>
      <w:i/>
    </w:rPr>
  </w:style>
  <w:style w:type="character" w:styleId="845" w:customStyle="1">
    <w:name w:val="Footnote Text Char"/>
    <w:uiPriority w:val="0"/>
    <w:qFormat/>
    <w:rPr>
      <w:sz w:val="18"/>
    </w:rPr>
  </w:style>
  <w:style w:type="character" w:styleId="846" w:customStyle="1">
    <w:name w:val="已访问的超链接1"/>
    <w:basedOn w:val="836"/>
    <w:uiPriority w:val="0"/>
    <w:qFormat/>
    <w:rPr>
      <w:color w:val="333333"/>
      <w:u w:val="none"/>
    </w:rPr>
  </w:style>
  <w:style w:type="character" w:styleId="847" w:customStyle="1">
    <w:name w:val="标题 5 Char"/>
    <w:basedOn w:val="836"/>
    <w:link w:val="831"/>
    <w:uiPriority w:val="0"/>
    <w:qFormat/>
    <w:rPr>
      <w:rFonts w:ascii="Arial" w:hAnsi="Arial" w:eastAsia="Arial"/>
      <w:b/>
      <w:bCs/>
      <w:sz w:val="24"/>
      <w:szCs w:val="24"/>
    </w:rPr>
  </w:style>
  <w:style w:type="character" w:styleId="848" w:customStyle="1">
    <w:name w:val="尾注引用1"/>
    <w:basedOn w:val="836"/>
    <w:uiPriority w:val="0"/>
    <w:qFormat/>
    <w:rPr>
      <w:vertAlign w:val="superscript"/>
    </w:rPr>
  </w:style>
  <w:style w:type="character" w:styleId="849" w:customStyle="1">
    <w:name w:val="标题 9 Char"/>
    <w:basedOn w:val="836"/>
    <w:link w:val="835"/>
    <w:uiPriority w:val="0"/>
    <w:qFormat/>
    <w:rPr>
      <w:rFonts w:ascii="Arial" w:hAnsi="Arial" w:eastAsia="Arial"/>
      <w:i/>
      <w:iCs/>
      <w:sz w:val="21"/>
      <w:szCs w:val="21"/>
    </w:rPr>
  </w:style>
  <w:style w:type="character" w:styleId="850" w:customStyle="1">
    <w:name w:val="Heading 9 Char"/>
    <w:basedOn w:val="836"/>
    <w:uiPriority w:val="0"/>
    <w:qFormat/>
    <w:rPr>
      <w:rFonts w:ascii="Arial" w:hAnsi="Arial" w:eastAsia="Arial"/>
      <w:i/>
      <w:iCs/>
      <w:sz w:val="21"/>
      <w:szCs w:val="21"/>
    </w:rPr>
  </w:style>
  <w:style w:type="character" w:styleId="851" w:customStyle="1">
    <w:name w:val="脚注引用1"/>
    <w:basedOn w:val="836"/>
    <w:uiPriority w:val="0"/>
    <w:qFormat/>
    <w:rPr>
      <w:vertAlign w:val="superscript"/>
    </w:rPr>
  </w:style>
  <w:style w:type="character" w:styleId="852" w:customStyle="1">
    <w:name w:val="尾注文本 Char"/>
    <w:link w:val="853"/>
    <w:uiPriority w:val="0"/>
    <w:qFormat/>
    <w:rPr>
      <w:sz w:val="20"/>
    </w:rPr>
  </w:style>
  <w:style w:type="paragraph" w:styleId="853" w:customStyle="1">
    <w:name w:val="尾注文本1"/>
    <w:basedOn w:val="772"/>
    <w:link w:val="852"/>
    <w:uiPriority w:val="0"/>
    <w:qFormat/>
    <w:rPr>
      <w:sz w:val="20"/>
    </w:rPr>
  </w:style>
  <w:style w:type="character" w:styleId="854" w:customStyle="1">
    <w:name w:val="Heading 2 Char"/>
    <w:basedOn w:val="836"/>
    <w:uiPriority w:val="0"/>
    <w:qFormat/>
    <w:rPr>
      <w:rFonts w:ascii="Arial" w:hAnsi="Arial" w:eastAsia="Arial"/>
      <w:sz w:val="34"/>
    </w:rPr>
  </w:style>
  <w:style w:type="character" w:styleId="855" w:customStyle="1">
    <w:name w:val="标题 6 Char"/>
    <w:basedOn w:val="836"/>
    <w:link w:val="832"/>
    <w:uiPriority w:val="0"/>
    <w:qFormat/>
    <w:rPr>
      <w:rFonts w:ascii="Arial" w:hAnsi="Arial" w:eastAsia="Arial"/>
      <w:b/>
      <w:bCs/>
      <w:sz w:val="22"/>
      <w:szCs w:val="22"/>
    </w:rPr>
  </w:style>
  <w:style w:type="character" w:styleId="856" w:customStyle="1">
    <w:name w:val="标题 8 Char"/>
    <w:basedOn w:val="836"/>
    <w:link w:val="834"/>
    <w:uiPriority w:val="0"/>
    <w:qFormat/>
    <w:rPr>
      <w:rFonts w:ascii="Arial" w:hAnsi="Arial" w:eastAsia="Arial"/>
      <w:i/>
      <w:iCs/>
      <w:sz w:val="22"/>
      <w:szCs w:val="22"/>
    </w:rPr>
  </w:style>
  <w:style w:type="character" w:styleId="857" w:customStyle="1">
    <w:name w:val="引用 字符"/>
    <w:link w:val="858"/>
    <w:uiPriority w:val="0"/>
    <w:qFormat/>
    <w:rPr>
      <w:i/>
    </w:rPr>
  </w:style>
  <w:style w:type="paragraph" w:styleId="858" w:customStyle="1">
    <w:name w:val="Quote"/>
    <w:basedOn w:val="772"/>
    <w:next w:val="772"/>
    <w:link w:val="857"/>
    <w:uiPriority w:val="0"/>
    <w:qFormat/>
    <w:pPr>
      <w:ind w:left="720" w:right="720"/>
    </w:pPr>
    <w:rPr>
      <w:i/>
    </w:rPr>
  </w:style>
  <w:style w:type="character" w:styleId="859" w:customStyle="1">
    <w:name w:val="Caption Char"/>
    <w:uiPriority w:val="0"/>
    <w:qFormat/>
  </w:style>
  <w:style w:type="character" w:styleId="860" w:customStyle="1">
    <w:name w:val="标题 3 Char"/>
    <w:basedOn w:val="836"/>
    <w:link w:val="829"/>
    <w:uiPriority w:val="0"/>
    <w:qFormat/>
    <w:rPr>
      <w:rFonts w:ascii="Arial" w:hAnsi="Arial" w:eastAsia="Arial"/>
      <w:sz w:val="30"/>
      <w:szCs w:val="30"/>
    </w:rPr>
  </w:style>
  <w:style w:type="character" w:styleId="861" w:customStyle="1">
    <w:name w:val="Heading 4 Char"/>
    <w:basedOn w:val="836"/>
    <w:uiPriority w:val="0"/>
    <w:qFormat/>
    <w:rPr>
      <w:rFonts w:ascii="Arial" w:hAnsi="Arial" w:eastAsia="Arial"/>
      <w:b/>
      <w:bCs/>
      <w:sz w:val="26"/>
      <w:szCs w:val="26"/>
    </w:rPr>
  </w:style>
  <w:style w:type="character" w:styleId="862" w:customStyle="1">
    <w:name w:val="Endnote Text Char"/>
    <w:uiPriority w:val="0"/>
    <w:qFormat/>
    <w:rPr>
      <w:sz w:val="20"/>
    </w:rPr>
  </w:style>
  <w:style w:type="character" w:styleId="863" w:customStyle="1">
    <w:name w:val="Subtitle Char"/>
    <w:basedOn w:val="836"/>
    <w:uiPriority w:val="0"/>
    <w:qFormat/>
    <w:rPr>
      <w:sz w:val="24"/>
      <w:szCs w:val="24"/>
    </w:rPr>
  </w:style>
  <w:style w:type="character" w:styleId="864" w:customStyle="1">
    <w:name w:val="批注框文本 Char"/>
    <w:basedOn w:val="836"/>
    <w:link w:val="865"/>
    <w:uiPriority w:val="0"/>
    <w:semiHidden/>
    <w:qFormat/>
    <w:rPr>
      <w:rFonts w:ascii="Times New Roman" w:hAnsi="Times New Roman"/>
      <w:sz w:val="18"/>
      <w:szCs w:val="18"/>
    </w:rPr>
  </w:style>
  <w:style w:type="paragraph" w:styleId="865" w:customStyle="1">
    <w:name w:val="批注框文本1"/>
    <w:basedOn w:val="772"/>
    <w:link w:val="864"/>
    <w:uiPriority w:val="0"/>
    <w:qFormat/>
    <w:rPr>
      <w:sz w:val="18"/>
      <w:szCs w:val="18"/>
    </w:rPr>
  </w:style>
  <w:style w:type="character" w:styleId="866" w:customStyle="1">
    <w:name w:val="标题 7 Char"/>
    <w:basedOn w:val="836"/>
    <w:link w:val="833"/>
    <w:uiPriority w:val="0"/>
    <w:qFormat/>
    <w:rPr>
      <w:rFonts w:ascii="Arial" w:hAnsi="Arial" w:eastAsia="Arial"/>
      <w:b/>
      <w:bCs/>
      <w:i/>
      <w:iCs/>
      <w:sz w:val="22"/>
      <w:szCs w:val="22"/>
    </w:rPr>
  </w:style>
  <w:style w:type="character" w:styleId="867" w:customStyle="1">
    <w:name w:val="明显引用 字符"/>
    <w:link w:val="868"/>
    <w:uiPriority w:val="0"/>
    <w:qFormat/>
    <w:rPr>
      <w:i/>
    </w:rPr>
  </w:style>
  <w:style w:type="paragraph" w:styleId="868" w:customStyle="1">
    <w:name w:val="Intense Quote"/>
    <w:basedOn w:val="772"/>
    <w:next w:val="772"/>
    <w:link w:val="86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Title Char"/>
    <w:basedOn w:val="836"/>
    <w:uiPriority w:val="0"/>
    <w:qFormat/>
    <w:rPr>
      <w:sz w:val="48"/>
      <w:szCs w:val="48"/>
    </w:rPr>
  </w:style>
  <w:style w:type="character" w:styleId="870" w:customStyle="1">
    <w:name w:val="标题 Char"/>
    <w:basedOn w:val="836"/>
    <w:link w:val="871"/>
    <w:uiPriority w:val="0"/>
    <w:qFormat/>
    <w:rPr>
      <w:sz w:val="48"/>
      <w:szCs w:val="48"/>
    </w:rPr>
  </w:style>
  <w:style w:type="paragraph" w:styleId="871" w:customStyle="1">
    <w:name w:val="标题1"/>
    <w:basedOn w:val="772"/>
    <w:next w:val="772"/>
    <w:link w:val="870"/>
    <w:uiPriority w:val="0"/>
    <w:qFormat/>
    <w:pPr>
      <w:contextualSpacing/>
      <w:spacing w:before="300" w:after="200"/>
    </w:pPr>
    <w:rPr>
      <w:sz w:val="48"/>
      <w:szCs w:val="48"/>
    </w:rPr>
  </w:style>
  <w:style w:type="character" w:styleId="872" w:customStyle="1">
    <w:name w:val="Heading 1 Char"/>
    <w:basedOn w:val="836"/>
    <w:uiPriority w:val="0"/>
    <w:qFormat/>
    <w:rPr>
      <w:rFonts w:ascii="Arial" w:hAnsi="Arial" w:eastAsia="Arial"/>
      <w:sz w:val="40"/>
      <w:szCs w:val="40"/>
    </w:rPr>
  </w:style>
  <w:style w:type="character" w:styleId="873" w:customStyle="1">
    <w:name w:val="Heading 6 Char"/>
    <w:basedOn w:val="836"/>
    <w:uiPriority w:val="0"/>
    <w:qFormat/>
    <w:rPr>
      <w:rFonts w:ascii="Arial" w:hAnsi="Arial" w:eastAsia="Arial"/>
      <w:b/>
      <w:bCs/>
      <w:sz w:val="22"/>
      <w:szCs w:val="22"/>
    </w:rPr>
  </w:style>
  <w:style w:type="character" w:styleId="874" w:customStyle="1">
    <w:name w:val="Heading 3 Char"/>
    <w:basedOn w:val="836"/>
    <w:uiPriority w:val="0"/>
    <w:qFormat/>
    <w:rPr>
      <w:rFonts w:ascii="Arial" w:hAnsi="Arial" w:eastAsia="Arial"/>
      <w:sz w:val="30"/>
      <w:szCs w:val="30"/>
    </w:rPr>
  </w:style>
  <w:style w:type="character" w:styleId="875" w:customStyle="1">
    <w:name w:val="Heading 7 Char"/>
    <w:basedOn w:val="836"/>
    <w:uiPriority w:val="0"/>
    <w:qFormat/>
    <w:rPr>
      <w:rFonts w:ascii="Arial" w:hAnsi="Arial" w:eastAsia="Arial"/>
      <w:b/>
      <w:bCs/>
      <w:i/>
      <w:iCs/>
      <w:sz w:val="22"/>
      <w:szCs w:val="22"/>
    </w:rPr>
  </w:style>
  <w:style w:type="character" w:styleId="876" w:customStyle="1">
    <w:name w:val="Header Char"/>
    <w:basedOn w:val="836"/>
    <w:uiPriority w:val="0"/>
    <w:qFormat/>
  </w:style>
  <w:style w:type="character" w:styleId="877" w:customStyle="1">
    <w:name w:val="Heading 5 Char"/>
    <w:basedOn w:val="836"/>
    <w:uiPriority w:val="0"/>
    <w:qFormat/>
    <w:rPr>
      <w:rFonts w:ascii="Arial" w:hAnsi="Arial" w:eastAsia="Arial"/>
      <w:b/>
      <w:bCs/>
      <w:sz w:val="24"/>
      <w:szCs w:val="24"/>
    </w:rPr>
  </w:style>
  <w:style w:type="character" w:styleId="878" w:customStyle="1">
    <w:name w:val="Intense Quote Char"/>
    <w:link w:val="772"/>
    <w:uiPriority w:val="0"/>
    <w:qFormat/>
    <w:rPr>
      <w:i/>
    </w:rPr>
  </w:style>
  <w:style w:type="paragraph" w:styleId="879" w:customStyle="1">
    <w:name w:val="DAS正文"/>
    <w:basedOn w:val="772"/>
    <w:uiPriority w:val="0"/>
    <w:qFormat/>
    <w:pPr>
      <w:ind w:right="181" w:firstLine="480"/>
      <w:spacing w:line="360" w:lineRule="auto"/>
    </w:pPr>
    <w:rPr>
      <w:rFonts w:ascii="Verdana" w:hAnsi="Verdana"/>
      <w:sz w:val="24"/>
    </w:rPr>
  </w:style>
  <w:style w:type="paragraph" w:styleId="880" w:customStyle="1">
    <w:name w:val="List Paragraph"/>
    <w:basedOn w:val="726"/>
    <w:uiPriority w:val="0"/>
    <w:qFormat/>
    <w:pPr>
      <w:contextualSpacing/>
      <w:ind w:left="720"/>
    </w:pPr>
  </w:style>
  <w:style w:type="paragraph" w:styleId="881" w:customStyle="1">
    <w:name w:val="题注1"/>
    <w:basedOn w:val="772"/>
    <w:next w:val="772"/>
    <w:uiPriority w:val="0"/>
    <w:qFormat/>
    <w:pPr>
      <w:spacing w:line="276" w:lineRule="auto"/>
    </w:pPr>
    <w:rPr>
      <w:b/>
      <w:bCs/>
      <w:color w:val="4f81bd"/>
      <w:sz w:val="18"/>
      <w:szCs w:val="18"/>
    </w:rPr>
  </w:style>
  <w:style w:type="paragraph" w:styleId="882" w:customStyle="1">
    <w:name w:val="正文49"/>
    <w:uiPriority w:val="0"/>
    <w:qFormat/>
    <w:pPr>
      <w:jc w:val="both"/>
      <w:widowControl w:val="off"/>
    </w:pPr>
    <w:rPr>
      <w:rFonts w:hint="default" w:ascii="Calibri" w:hAnsi="Calibri" w:eastAsia="宋体" w:cs="Times New Roman"/>
      <w:sz w:val="21"/>
      <w:szCs w:val="22"/>
    </w:rPr>
  </w:style>
  <w:style w:type="paragraph" w:styleId="883" w:customStyle="1">
    <w:name w:val="正文首行缩进1"/>
    <w:basedOn w:val="826"/>
    <w:uiPriority w:val="0"/>
    <w:qFormat/>
    <w:pPr>
      <w:ind w:firstLine="420"/>
    </w:pPr>
  </w:style>
  <w:style w:type="paragraph" w:styleId="884" w:customStyle="1">
    <w:name w:val="目录 71"/>
    <w:basedOn w:val="772"/>
    <w:next w:val="772"/>
    <w:uiPriority w:val="0"/>
    <w:qFormat/>
    <w:pPr>
      <w:ind w:left="1701"/>
      <w:spacing w:after="57"/>
    </w:pPr>
  </w:style>
  <w:style w:type="paragraph" w:styleId="885" w:customStyle="1">
    <w:name w:val="正文缩进1"/>
    <w:basedOn w:val="772"/>
    <w:uiPriority w:val="0"/>
    <w:qFormat/>
    <w:pPr>
      <w:ind w:firstLine="420"/>
    </w:pPr>
  </w:style>
  <w:style w:type="paragraph" w:styleId="886" w:customStyle="1">
    <w:name w:val="Char"/>
    <w:basedOn w:val="772"/>
    <w:uiPriority w:val="0"/>
    <w:qFormat/>
    <w:pPr>
      <w:tabs>
        <w:tab w:val="left" w:pos="360" w:leader="none"/>
      </w:tabs>
    </w:pPr>
    <w:rPr>
      <w:sz w:val="24"/>
    </w:rPr>
  </w:style>
  <w:style w:type="paragraph" w:styleId="887" w:customStyle="1">
    <w:name w:val="普通正文"/>
    <w:basedOn w:val="772"/>
    <w:uiPriority w:val="0"/>
    <w:qFormat/>
    <w:pPr>
      <w:ind w:firstLine="480"/>
      <w:jc w:val="left"/>
      <w:spacing w:before="120" w:after="120" w:line="360" w:lineRule="auto"/>
    </w:pPr>
    <w:rPr>
      <w:rFonts w:ascii="Arial" w:hAnsi="Arial"/>
      <w:sz w:val="24"/>
    </w:rPr>
  </w:style>
  <w:style w:type="paragraph" w:styleId="888" w:customStyle="1">
    <w:name w:val="正文文本缩进1"/>
    <w:basedOn w:val="772"/>
    <w:next w:val="889"/>
    <w:uiPriority w:val="0"/>
    <w:qFormat/>
    <w:pPr>
      <w:ind w:firstLine="425"/>
      <w:spacing w:line="360" w:lineRule="auto"/>
    </w:pPr>
  </w:style>
  <w:style w:type="paragraph" w:styleId="889" w:customStyle="1">
    <w:name w:val="寄信人地址1"/>
    <w:basedOn w:val="772"/>
    <w:uiPriority w:val="0"/>
    <w:qFormat/>
    <w:rPr>
      <w:rFonts w:ascii="Arial" w:hAnsi="Arial"/>
    </w:rPr>
  </w:style>
  <w:style w:type="paragraph" w:styleId="890" w:customStyle="1">
    <w:name w:val="TOC 标题111"/>
    <w:uiPriority w:val="0"/>
    <w:qFormat/>
    <w:rPr>
      <w:rFonts w:hint="default" w:ascii="Times New Roman" w:hAnsi="Times New Roman" w:eastAsia="宋体" w:cs="Times New Roman"/>
    </w:rPr>
  </w:style>
  <w:style w:type="paragraph" w:styleId="891" w:customStyle="1">
    <w:name w:val="UserStyle_0"/>
    <w:basedOn w:val="772"/>
    <w:next w:val="892"/>
    <w:uiPriority w:val="0"/>
    <w:qFormat/>
  </w:style>
  <w:style w:type="paragraph" w:styleId="892" w:customStyle="1">
    <w:name w:val="UserStyle_1"/>
    <w:basedOn w:val="891"/>
    <w:next w:val="893"/>
    <w:uiPriority w:val="0"/>
    <w:qFormat/>
    <w:pPr>
      <w:spacing w:after="120"/>
    </w:pPr>
    <w:rPr>
      <w:lang w:eastAsia="en-US"/>
    </w:rPr>
  </w:style>
  <w:style w:type="paragraph" w:styleId="893" w:customStyle="1">
    <w:name w:val="UserStyle_3"/>
    <w:basedOn w:val="894"/>
    <w:next w:val="895"/>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894" w:customStyle="1">
    <w:name w:val="UserStyle_4"/>
    <w:next w:val="726"/>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895" w:customStyle="1">
    <w:name w:val="UserStyle_5"/>
    <w:basedOn w:val="726"/>
    <w:next w:val="726"/>
    <w:uiPriority w:val="0"/>
    <w:qFormat/>
    <w:pPr>
      <w:ind w:firstLine="200"/>
    </w:pPr>
    <w:rPr>
      <w:rFonts w:ascii="宋体"/>
      <w:szCs w:val="20"/>
    </w:rPr>
  </w:style>
  <w:style w:type="paragraph" w:styleId="896" w:customStyle="1">
    <w:name w:val="批注文字1"/>
    <w:basedOn w:val="772"/>
    <w:uiPriority w:val="0"/>
    <w:qFormat/>
    <w:pPr>
      <w:jc w:val="left"/>
    </w:pPr>
  </w:style>
  <w:style w:type="paragraph" w:styleId="897" w:customStyle="1">
    <w:name w:val="目录 51"/>
    <w:basedOn w:val="772"/>
    <w:next w:val="772"/>
    <w:uiPriority w:val="0"/>
    <w:qFormat/>
    <w:pPr>
      <w:ind w:left="1134"/>
      <w:spacing w:after="57"/>
    </w:pPr>
  </w:style>
  <w:style w:type="paragraph" w:styleId="898" w:customStyle="1">
    <w:name w:val="目录 81"/>
    <w:basedOn w:val="772"/>
    <w:next w:val="772"/>
    <w:uiPriority w:val="0"/>
    <w:qFormat/>
    <w:pPr>
      <w:ind w:left="1984"/>
      <w:spacing w:after="57"/>
    </w:pPr>
  </w:style>
  <w:style w:type="paragraph" w:styleId="899" w:customStyle="1">
    <w:name w:val="目录 31"/>
    <w:basedOn w:val="772"/>
    <w:next w:val="772"/>
    <w:uiPriority w:val="0"/>
    <w:qFormat/>
    <w:pPr>
      <w:ind w:left="567"/>
      <w:spacing w:after="57"/>
    </w:pPr>
  </w:style>
  <w:style w:type="paragraph" w:styleId="900" w:customStyle="1">
    <w:name w:val="纯文本1"/>
    <w:basedOn w:val="772"/>
    <w:uiPriority w:val="0"/>
    <w:qFormat/>
    <w:rPr>
      <w:rFonts w:ascii="宋体" w:hAnsi="Courier New"/>
      <w:sz w:val="20"/>
      <w:szCs w:val="20"/>
    </w:rPr>
  </w:style>
  <w:style w:type="paragraph" w:styleId="901" w:customStyle="1">
    <w:name w:val="目录 41"/>
    <w:basedOn w:val="772"/>
    <w:next w:val="772"/>
    <w:uiPriority w:val="0"/>
    <w:qFormat/>
    <w:pPr>
      <w:ind w:left="850"/>
      <w:spacing w:after="57"/>
    </w:pPr>
  </w:style>
  <w:style w:type="paragraph" w:styleId="902" w:customStyle="1">
    <w:name w:val="页眉1"/>
    <w:basedOn w:val="772"/>
    <w:uiPriority w:val="0"/>
    <w:qFormat/>
    <w:pPr>
      <w:jc w:val="center"/>
      <w:tabs>
        <w:tab w:val="center" w:pos="4153" w:leader="none"/>
        <w:tab w:val="right" w:pos="8306" w:leader="none"/>
      </w:tabs>
      <w:pBdr>
        <w:bottom w:val="single" w:color="000000" w:sz="6" w:space="1"/>
      </w:pBdr>
    </w:pPr>
    <w:rPr>
      <w:sz w:val="18"/>
      <w:szCs w:val="18"/>
    </w:rPr>
  </w:style>
  <w:style w:type="paragraph" w:styleId="903" w:customStyle="1">
    <w:name w:val="日期1"/>
    <w:basedOn w:val="772"/>
    <w:next w:val="772"/>
    <w:uiPriority w:val="0"/>
    <w:qFormat/>
    <w:rPr>
      <w:rFonts w:eastAsia="仿宋_GB2312"/>
      <w:sz w:val="28"/>
      <w:szCs w:val="20"/>
    </w:rPr>
  </w:style>
  <w:style w:type="paragraph" w:styleId="904" w:customStyle="1">
    <w:name w:val="页脚1"/>
    <w:basedOn w:val="772"/>
    <w:uiPriority w:val="0"/>
    <w:qFormat/>
    <w:pPr>
      <w:jc w:val="left"/>
      <w:tabs>
        <w:tab w:val="center" w:pos="4153" w:leader="none"/>
        <w:tab w:val="right" w:pos="8306" w:leader="none"/>
      </w:tabs>
    </w:pPr>
    <w:rPr>
      <w:sz w:val="18"/>
      <w:szCs w:val="18"/>
    </w:rPr>
  </w:style>
  <w:style w:type="paragraph" w:styleId="905" w:customStyle="1">
    <w:name w:val="正文文本缩进 21"/>
    <w:basedOn w:val="772"/>
    <w:uiPriority w:val="0"/>
    <w:qFormat/>
    <w:pPr>
      <w:ind w:firstLine="475"/>
      <w:spacing w:line="10" w:lineRule="atLeast"/>
    </w:pPr>
    <w:rPr>
      <w:rFonts w:ascii="仿宋_GB2312" w:eastAsia="仿宋_GB2312"/>
      <w:sz w:val="24"/>
    </w:rPr>
  </w:style>
  <w:style w:type="paragraph" w:styleId="906" w:customStyle="1">
    <w:name w:val="正文首行缩进 21"/>
    <w:basedOn w:val="888"/>
    <w:next w:val="772"/>
    <w:uiPriority w:val="0"/>
    <w:qFormat/>
    <w:pPr>
      <w:ind w:firstLine="420"/>
    </w:pPr>
    <w:rPr>
      <w:rFonts w:ascii="宋体" w:hAnsi="宋体"/>
      <w:sz w:val="20"/>
      <w:szCs w:val="20"/>
    </w:rPr>
  </w:style>
  <w:style w:type="paragraph" w:styleId="907" w:customStyle="1">
    <w:name w:val="TOC 标题11"/>
    <w:uiPriority w:val="0"/>
    <w:qFormat/>
    <w:rPr>
      <w:rFonts w:hint="default" w:ascii="Times New Roman" w:hAnsi="Times New Roman" w:eastAsia="宋体" w:cs="Times New Roman"/>
    </w:rPr>
  </w:style>
  <w:style w:type="paragraph" w:styleId="908" w:customStyle="1">
    <w:name w:val="p0"/>
    <w:basedOn w:val="772"/>
    <w:uiPriority w:val="0"/>
    <w:qFormat/>
    <w:pPr>
      <w:widowControl/>
    </w:pPr>
    <w:rPr>
      <w:szCs w:val="21"/>
    </w:rPr>
  </w:style>
  <w:style w:type="paragraph" w:styleId="909" w:customStyle="1">
    <w:name w:val="目录 61"/>
    <w:basedOn w:val="772"/>
    <w:next w:val="772"/>
    <w:uiPriority w:val="0"/>
    <w:qFormat/>
    <w:pPr>
      <w:ind w:left="1417"/>
      <w:spacing w:after="57"/>
    </w:pPr>
  </w:style>
  <w:style w:type="paragraph" w:styleId="910" w:customStyle="1">
    <w:name w:val="普通(网站)1"/>
    <w:basedOn w:val="770"/>
    <w:uiPriority w:val="0"/>
    <w:qFormat/>
    <w:pPr>
      <w:jc w:val="left"/>
      <w:spacing w:before="100" w:beforeAutospacing="1" w:after="100" w:afterAutospacing="1"/>
      <w:widowControl/>
    </w:pPr>
    <w:rPr>
      <w:rFonts w:ascii="宋体" w:hAnsi="宋体"/>
      <w:sz w:val="24"/>
    </w:rPr>
  </w:style>
  <w:style w:type="paragraph" w:styleId="911" w:customStyle="1">
    <w:name w:val="目录 91"/>
    <w:basedOn w:val="772"/>
    <w:next w:val="772"/>
    <w:uiPriority w:val="0"/>
    <w:qFormat/>
    <w:pPr>
      <w:ind w:left="2268"/>
      <w:spacing w:after="57"/>
    </w:pPr>
  </w:style>
  <w:style w:type="paragraph" w:styleId="912" w:customStyle="1">
    <w:name w:val="无间隔1"/>
    <w:uiPriority w:val="0"/>
    <w:qFormat/>
    <w:rPr>
      <w:rFonts w:hint="default" w:ascii="Times New Roman" w:hAnsi="Times New Roman" w:eastAsia="宋体" w:cs="Times New Roman"/>
      <w:sz w:val="22"/>
      <w:szCs w:val="22"/>
      <w:lang w:eastAsia="en-US"/>
    </w:rPr>
  </w:style>
  <w:style w:type="paragraph" w:styleId="913" w:customStyle="1">
    <w:name w:val="普通(网站)2"/>
    <w:basedOn w:val="772"/>
    <w:uiPriority w:val="0"/>
    <w:qFormat/>
    <w:pPr>
      <w:jc w:val="left"/>
      <w:spacing w:before="100" w:beforeAutospacing="1" w:after="100" w:afterAutospacing="1"/>
      <w:widowControl/>
    </w:pPr>
    <w:rPr>
      <w:rFonts w:ascii="宋体" w:hAnsi="宋体"/>
      <w:sz w:val="24"/>
    </w:rPr>
  </w:style>
  <w:style w:type="paragraph" w:styleId="914" w:customStyle="1">
    <w:name w:val="图表目录1"/>
    <w:basedOn w:val="772"/>
    <w:next w:val="772"/>
    <w:uiPriority w:val="0"/>
    <w:qFormat/>
  </w:style>
  <w:style w:type="paragraph" w:styleId="915" w:customStyle="1">
    <w:name w:val="目录 21"/>
    <w:basedOn w:val="772"/>
    <w:next w:val="772"/>
    <w:uiPriority w:val="0"/>
    <w:qFormat/>
    <w:pPr>
      <w:ind w:left="283"/>
      <w:spacing w:after="57"/>
    </w:pPr>
  </w:style>
  <w:style w:type="paragraph" w:styleId="916" w:customStyle="1">
    <w:name w:val="投标文件正文"/>
    <w:basedOn w:val="772"/>
    <w:uiPriority w:val="0"/>
    <w:qFormat/>
    <w:pPr>
      <w:ind w:firstLine="200"/>
      <w:spacing w:before="40" w:after="40" w:line="400" w:lineRule="exact"/>
    </w:pPr>
    <w:rPr>
      <w:sz w:val="24"/>
    </w:rPr>
  </w:style>
  <w:style w:type="paragraph" w:styleId="917" w:customStyle="1">
    <w:name w:val="默认段落字体 Para Char Char Char Char Char Char Char"/>
    <w:basedOn w:val="772"/>
    <w:uiPriority w:val="0"/>
    <w:qFormat/>
    <w:rPr>
      <w:rFonts w:ascii="Tahoma" w:hAnsi="Tahoma"/>
      <w:sz w:val="24"/>
      <w:szCs w:val="20"/>
    </w:rPr>
  </w:style>
  <w:style w:type="paragraph" w:styleId="918" w:customStyle="1">
    <w:name w:val="索引 41"/>
    <w:basedOn w:val="775"/>
    <w:next w:val="775"/>
    <w:uiPriority w:val="0"/>
    <w:qFormat/>
    <w:pPr>
      <w:ind w:left="600"/>
    </w:pPr>
    <w:rPr>
      <w:rFonts w:ascii="Calibri" w:hAnsi="Calibri"/>
      <w:sz w:val="22"/>
      <w:szCs w:val="22"/>
    </w:rPr>
  </w:style>
  <w:style w:type="paragraph" w:styleId="919" w:customStyle="1">
    <w:name w:val="_HT_正文"/>
    <w:basedOn w:val="772"/>
    <w:uiPriority w:val="0"/>
    <w:qFormat/>
    <w:pPr>
      <w:ind w:firstLine="200"/>
      <w:spacing w:line="360" w:lineRule="auto"/>
    </w:pPr>
    <w:rPr>
      <w:sz w:val="24"/>
    </w:rPr>
  </w:style>
  <w:style w:type="paragraph" w:styleId="920" w:customStyle="1">
    <w:name w:val="No Spacing"/>
    <w:uiPriority w:val="0"/>
    <w:qFormat/>
    <w:rPr>
      <w:rFonts w:hint="default" w:ascii="Times New Roman" w:hAnsi="Times New Roman" w:eastAsia="宋体" w:cs="Times New Roman"/>
    </w:rPr>
  </w:style>
  <w:style w:type="table" w:styleId="921" w:customStyle="1">
    <w:name w:val="Lined - Accent"/>
    <w:basedOn w:val="807"/>
    <w:uiPriority w:val="0"/>
    <w:qFormat/>
    <w:rPr>
      <w:color w:val="404040"/>
    </w:rPr>
    <w:tblPr/>
  </w:style>
  <w:style w:type="table" w:styleId="922" w:customStyle="1">
    <w:name w:val="Grid Table 3 - Accent 1"/>
    <w:basedOn w:val="807"/>
    <w:uiPriority w:val="0"/>
    <w:qFormat/>
    <w:tblPr/>
  </w:style>
  <w:style w:type="table" w:styleId="923" w:customStyle="1">
    <w:name w:val="Grid Table 3 - Accent 5"/>
    <w:basedOn w:val="807"/>
    <w:uiPriority w:val="0"/>
    <w:qFormat/>
    <w:tblPr/>
  </w:style>
  <w:style w:type="table" w:styleId="924" w:customStyle="1">
    <w:name w:val="List Table 7 Colorful - Accent 3"/>
    <w:basedOn w:val="807"/>
    <w:uiPriority w:val="0"/>
    <w:qFormat/>
    <w:tblPr/>
  </w:style>
  <w:style w:type="table" w:styleId="925" w:customStyle="1">
    <w:name w:val="Bordered - Accent 3"/>
    <w:basedOn w:val="807"/>
    <w:uiPriority w:val="0"/>
    <w:qFormat/>
    <w:tblPr/>
  </w:style>
  <w:style w:type="table" w:styleId="926" w:customStyle="1">
    <w:name w:val="网格型1"/>
    <w:basedOn w:val="807"/>
    <w:uiPriority w:val="0"/>
    <w:qFormat/>
    <w:pPr>
      <w:jc w:val="both"/>
      <w:widowControl w:val="off"/>
    </w:pPr>
    <w:tblPr/>
  </w:style>
  <w:style w:type="table" w:styleId="927" w:customStyle="1">
    <w:name w:val="List Table 7 Colorful - Accent 6"/>
    <w:basedOn w:val="807"/>
    <w:uiPriority w:val="0"/>
    <w:qFormat/>
    <w:tblPr/>
  </w:style>
  <w:style w:type="table" w:styleId="928" w:customStyle="1">
    <w:name w:val="Grid Table 4 - Accent 1"/>
    <w:basedOn w:val="807"/>
    <w:uiPriority w:val="0"/>
    <w:qFormat/>
    <w:tblPr/>
  </w:style>
  <w:style w:type="table" w:styleId="929" w:customStyle="1">
    <w:name w:val="Bordered - Accent 4"/>
    <w:basedOn w:val="807"/>
    <w:uiPriority w:val="0"/>
    <w:qFormat/>
    <w:tblPr/>
  </w:style>
  <w:style w:type="table" w:styleId="930" w:customStyle="1">
    <w:name w:val="Grid Table 2 - Accent 3"/>
    <w:basedOn w:val="807"/>
    <w:uiPriority w:val="0"/>
    <w:qFormat/>
    <w:tblPr/>
  </w:style>
  <w:style w:type="table" w:styleId="931" w:customStyle="1">
    <w:name w:val="List Table 2 - Accent 2"/>
    <w:basedOn w:val="807"/>
    <w:uiPriority w:val="0"/>
    <w:qFormat/>
    <w:tblPr/>
  </w:style>
  <w:style w:type="table" w:styleId="932" w:customStyle="1">
    <w:name w:val="Grid Table 3 - Accent 4"/>
    <w:basedOn w:val="807"/>
    <w:uiPriority w:val="0"/>
    <w:qFormat/>
    <w:tblPr/>
  </w:style>
  <w:style w:type="table" w:styleId="933" w:customStyle="1">
    <w:name w:val="Grid Table 6 Colorful - Accent 6"/>
    <w:basedOn w:val="807"/>
    <w:uiPriority w:val="0"/>
    <w:qFormat/>
    <w:tblPr/>
  </w:style>
  <w:style w:type="table" w:styleId="934" w:customStyle="1">
    <w:name w:val="Bordered - Accent 5"/>
    <w:basedOn w:val="807"/>
    <w:uiPriority w:val="0"/>
    <w:qFormat/>
    <w:tblPr/>
  </w:style>
  <w:style w:type="table" w:styleId="935" w:customStyle="1">
    <w:name w:val="List Table 4 - Accent 3"/>
    <w:basedOn w:val="807"/>
    <w:uiPriority w:val="0"/>
    <w:qFormat/>
    <w:tblPr/>
  </w:style>
  <w:style w:type="table" w:styleId="936" w:customStyle="1">
    <w:name w:val="Grid Table 6 Colorful - Accent 3"/>
    <w:basedOn w:val="807"/>
    <w:uiPriority w:val="0"/>
    <w:qFormat/>
    <w:tblPr/>
  </w:style>
  <w:style w:type="table" w:styleId="937" w:customStyle="1">
    <w:name w:val="Grid Table 6 Colorful - Accent 5"/>
    <w:basedOn w:val="807"/>
    <w:uiPriority w:val="0"/>
    <w:qFormat/>
    <w:tblPr/>
  </w:style>
  <w:style w:type="table" w:styleId="938" w:customStyle="1">
    <w:name w:val="List Table 7 Colorful - Accent 2"/>
    <w:basedOn w:val="807"/>
    <w:uiPriority w:val="0"/>
    <w:qFormat/>
    <w:tblPr/>
  </w:style>
  <w:style w:type="table" w:styleId="939" w:customStyle="1">
    <w:name w:val="Bordered &amp; Lined - Accent 3"/>
    <w:basedOn w:val="807"/>
    <w:uiPriority w:val="0"/>
    <w:qFormat/>
    <w:rPr>
      <w:color w:val="404040"/>
    </w:rPr>
    <w:tblPr/>
  </w:style>
  <w:style w:type="table" w:styleId="940" w:customStyle="1">
    <w:name w:val="Grid Table 3 - Accent 2"/>
    <w:basedOn w:val="807"/>
    <w:uiPriority w:val="0"/>
    <w:qFormat/>
    <w:tblPr/>
  </w:style>
  <w:style w:type="table" w:styleId="941" w:customStyle="1">
    <w:name w:val="Grid Table 4 - Accent 5"/>
    <w:basedOn w:val="807"/>
    <w:uiPriority w:val="0"/>
    <w:qFormat/>
    <w:tblPr/>
  </w:style>
  <w:style w:type="table" w:styleId="942" w:customStyle="1">
    <w:name w:val="List Table 2 - Accent 5"/>
    <w:basedOn w:val="807"/>
    <w:uiPriority w:val="0"/>
    <w:qFormat/>
    <w:tblPr/>
  </w:style>
  <w:style w:type="table" w:styleId="943" w:customStyle="1">
    <w:name w:val="Lined - Accent 3"/>
    <w:basedOn w:val="807"/>
    <w:uiPriority w:val="0"/>
    <w:qFormat/>
    <w:rPr>
      <w:color w:val="404040"/>
    </w:rPr>
    <w:tblPr/>
  </w:style>
  <w:style w:type="table" w:styleId="944" w:customStyle="1">
    <w:name w:val="List Table 6 Colorful - Accent 3"/>
    <w:basedOn w:val="807"/>
    <w:uiPriority w:val="0"/>
    <w:qFormat/>
    <w:tblPr/>
  </w:style>
  <w:style w:type="table" w:styleId="945" w:customStyle="1">
    <w:name w:val="List Table 7 Colorful - Accent 4"/>
    <w:basedOn w:val="807"/>
    <w:uiPriority w:val="0"/>
    <w:qFormat/>
    <w:tblPr/>
  </w:style>
  <w:style w:type="table" w:styleId="946" w:customStyle="1">
    <w:name w:val="List Table 5 Dark - Accent 5"/>
    <w:basedOn w:val="807"/>
    <w:uiPriority w:val="0"/>
    <w:qFormat/>
    <w:tblPr/>
  </w:style>
  <w:style w:type="table" w:styleId="947" w:customStyle="1">
    <w:name w:val="List Table 7 Colorful - Accent 1"/>
    <w:basedOn w:val="807"/>
    <w:uiPriority w:val="0"/>
    <w:qFormat/>
    <w:tblPr/>
  </w:style>
  <w:style w:type="table" w:styleId="948" w:customStyle="1">
    <w:name w:val="List Table 6 Colorful - Accent 6"/>
    <w:basedOn w:val="807"/>
    <w:uiPriority w:val="0"/>
    <w:qFormat/>
    <w:tblPr/>
  </w:style>
  <w:style w:type="table" w:styleId="949" w:customStyle="1">
    <w:name w:val="List Table 2 - Accent 3"/>
    <w:basedOn w:val="807"/>
    <w:uiPriority w:val="0"/>
    <w:qFormat/>
    <w:tblPr/>
  </w:style>
  <w:style w:type="table" w:styleId="950" w:customStyle="1">
    <w:name w:val="Grid Table 5 Dark - Accent 2"/>
    <w:basedOn w:val="807"/>
    <w:uiPriority w:val="0"/>
    <w:qFormat/>
    <w:tblPr/>
  </w:style>
  <w:style w:type="table" w:styleId="951" w:customStyle="1">
    <w:name w:val="Grid Table 7 Colorful - Accent 3"/>
    <w:basedOn w:val="807"/>
    <w:uiPriority w:val="0"/>
    <w:qFormat/>
    <w:tblPr/>
  </w:style>
  <w:style w:type="table" w:styleId="952" w:customStyle="1">
    <w:name w:val="List Table 4 - Accent 6"/>
    <w:basedOn w:val="807"/>
    <w:uiPriority w:val="0"/>
    <w:qFormat/>
    <w:tblPr/>
  </w:style>
  <w:style w:type="table" w:styleId="953" w:customStyle="1">
    <w:name w:val="List Table 4 - Accent 2"/>
    <w:basedOn w:val="807"/>
    <w:uiPriority w:val="0"/>
    <w:qFormat/>
    <w:tblPr/>
  </w:style>
  <w:style w:type="table" w:styleId="954" w:customStyle="1">
    <w:name w:val="Grid Table 3 - Accent 3"/>
    <w:basedOn w:val="807"/>
    <w:uiPriority w:val="0"/>
    <w:qFormat/>
    <w:tblPr/>
  </w:style>
  <w:style w:type="table" w:styleId="955" w:customStyle="1">
    <w:name w:val="Grid Table 4 - Accent 3"/>
    <w:basedOn w:val="807"/>
    <w:uiPriority w:val="0"/>
    <w:qFormat/>
    <w:tblPr/>
  </w:style>
  <w:style w:type="table" w:styleId="956" w:customStyle="1">
    <w:name w:val="List Table 2 - Accent 1"/>
    <w:basedOn w:val="807"/>
    <w:uiPriority w:val="0"/>
    <w:qFormat/>
    <w:tblPr/>
  </w:style>
  <w:style w:type="table" w:styleId="957" w:customStyle="1">
    <w:name w:val="Bordered &amp; Lined - Accent 5"/>
    <w:basedOn w:val="807"/>
    <w:uiPriority w:val="0"/>
    <w:qFormat/>
    <w:rPr>
      <w:color w:val="404040"/>
    </w:rPr>
    <w:tblPr/>
  </w:style>
  <w:style w:type="table" w:styleId="958" w:customStyle="1">
    <w:name w:val="Bordered - Accent 1"/>
    <w:basedOn w:val="807"/>
    <w:uiPriority w:val="0"/>
    <w:qFormat/>
    <w:tblPr/>
  </w:style>
  <w:style w:type="table" w:styleId="959" w:customStyle="1">
    <w:name w:val="Table Grid Light"/>
    <w:basedOn w:val="807"/>
    <w:uiPriority w:val="0"/>
    <w:qFormat/>
    <w:tblPr/>
  </w:style>
  <w:style w:type="table" w:styleId="960" w:customStyle="1">
    <w:name w:val="Grid Table 5 Dark - Accent 5"/>
    <w:basedOn w:val="807"/>
    <w:uiPriority w:val="0"/>
    <w:qFormat/>
    <w:tblPr/>
  </w:style>
  <w:style w:type="table" w:styleId="961" w:customStyle="1">
    <w:name w:val="Grid Table 2 - Accent 6"/>
    <w:basedOn w:val="807"/>
    <w:uiPriority w:val="0"/>
    <w:qFormat/>
    <w:tblPr/>
  </w:style>
  <w:style w:type="table" w:styleId="962" w:customStyle="1">
    <w:name w:val="Grid Table 1 Light - Accent 2"/>
    <w:basedOn w:val="807"/>
    <w:uiPriority w:val="0"/>
    <w:qFormat/>
    <w:tblPr/>
  </w:style>
  <w:style w:type="table" w:styleId="963" w:customStyle="1">
    <w:name w:val="List Table 7 Colorful - Accent 5"/>
    <w:basedOn w:val="807"/>
    <w:uiPriority w:val="0"/>
    <w:qFormat/>
    <w:tblPr/>
  </w:style>
  <w:style w:type="table" w:styleId="964" w:customStyle="1">
    <w:name w:val="List Table 4 - Accent 4"/>
    <w:basedOn w:val="807"/>
    <w:uiPriority w:val="0"/>
    <w:qFormat/>
    <w:tblPr/>
  </w:style>
  <w:style w:type="table" w:styleId="965" w:customStyle="1">
    <w:name w:val="List Table 6 Colorful - Accent 2"/>
    <w:basedOn w:val="807"/>
    <w:uiPriority w:val="0"/>
    <w:qFormat/>
    <w:tblPr/>
  </w:style>
  <w:style w:type="table" w:styleId="966" w:customStyle="1">
    <w:name w:val="Grid Table 2 - Accent 2"/>
    <w:basedOn w:val="807"/>
    <w:uiPriority w:val="0"/>
    <w:qFormat/>
    <w:tblPr/>
  </w:style>
  <w:style w:type="table" w:styleId="967" w:customStyle="1">
    <w:name w:val="Lined - Accent 6"/>
    <w:basedOn w:val="807"/>
    <w:uiPriority w:val="0"/>
    <w:qFormat/>
    <w:rPr>
      <w:color w:val="404040"/>
    </w:rPr>
    <w:tblPr/>
  </w:style>
  <w:style w:type="table" w:styleId="968" w:customStyle="1">
    <w:name w:val="Grid Table 7 Colorful - Accent 6"/>
    <w:basedOn w:val="807"/>
    <w:uiPriority w:val="0"/>
    <w:qFormat/>
    <w:tblPr/>
  </w:style>
  <w:style w:type="table" w:styleId="969" w:customStyle="1">
    <w:name w:val="Bordered - Accent 6"/>
    <w:basedOn w:val="807"/>
    <w:uiPriority w:val="0"/>
    <w:qFormat/>
    <w:tblPr/>
  </w:style>
  <w:style w:type="table" w:styleId="970" w:customStyle="1">
    <w:name w:val="Lined - Accent 5"/>
    <w:basedOn w:val="807"/>
    <w:uiPriority w:val="0"/>
    <w:qFormat/>
    <w:rPr>
      <w:color w:val="404040"/>
    </w:rPr>
    <w:tblPr/>
  </w:style>
  <w:style w:type="table" w:styleId="971" w:customStyle="1">
    <w:name w:val="Grid Table 4 - Accent 6"/>
    <w:basedOn w:val="807"/>
    <w:uiPriority w:val="0"/>
    <w:qFormat/>
    <w:tblPr/>
  </w:style>
  <w:style w:type="table" w:styleId="972" w:customStyle="1">
    <w:name w:val="List Table 5 Dark - Accent 3"/>
    <w:basedOn w:val="807"/>
    <w:uiPriority w:val="0"/>
    <w:qFormat/>
    <w:tblPr/>
  </w:style>
  <w:style w:type="table" w:styleId="973" w:customStyle="1">
    <w:name w:val="Grid Table 4 - Accent 4"/>
    <w:basedOn w:val="807"/>
    <w:uiPriority w:val="0"/>
    <w:qFormat/>
    <w:tblPr/>
  </w:style>
  <w:style w:type="table" w:styleId="974" w:customStyle="1">
    <w:name w:val="Grid Table 6 Colorful - Accent 2"/>
    <w:basedOn w:val="807"/>
    <w:uiPriority w:val="0"/>
    <w:qFormat/>
    <w:tblPr/>
  </w:style>
  <w:style w:type="table" w:styleId="975" w:customStyle="1">
    <w:name w:val="Grid Table 2 - Accent 1"/>
    <w:basedOn w:val="807"/>
    <w:uiPriority w:val="0"/>
    <w:qFormat/>
    <w:tblPr/>
  </w:style>
  <w:style w:type="table" w:styleId="976" w:customStyle="1">
    <w:name w:val="List Table 4 - Accent 5"/>
    <w:basedOn w:val="807"/>
    <w:uiPriority w:val="0"/>
    <w:qFormat/>
    <w:tblPr/>
  </w:style>
  <w:style w:type="table" w:styleId="977" w:customStyle="1">
    <w:name w:val="List Table 2 - Accent 4"/>
    <w:basedOn w:val="807"/>
    <w:uiPriority w:val="0"/>
    <w:qFormat/>
    <w:tblPr/>
  </w:style>
  <w:style w:type="table" w:styleId="978" w:customStyle="1">
    <w:name w:val="List Table 3 - Accent 4"/>
    <w:basedOn w:val="807"/>
    <w:uiPriority w:val="0"/>
    <w:qFormat/>
    <w:tblPr/>
  </w:style>
  <w:style w:type="table" w:styleId="979" w:customStyle="1">
    <w:name w:val="Bordered &amp; Lined - Accent 1"/>
    <w:basedOn w:val="807"/>
    <w:uiPriority w:val="0"/>
    <w:qFormat/>
    <w:rPr>
      <w:color w:val="404040"/>
    </w:rPr>
    <w:tblPr/>
  </w:style>
  <w:style w:type="table" w:styleId="980" w:customStyle="1">
    <w:name w:val="Grid Table 7 Colorful - Accent 1"/>
    <w:basedOn w:val="807"/>
    <w:uiPriority w:val="0"/>
    <w:qFormat/>
    <w:tblPr/>
  </w:style>
  <w:style w:type="table" w:styleId="981" w:customStyle="1">
    <w:name w:val="Bordered &amp; Lined - Accent 6"/>
    <w:basedOn w:val="807"/>
    <w:uiPriority w:val="0"/>
    <w:qFormat/>
    <w:rPr>
      <w:color w:val="404040"/>
    </w:rPr>
    <w:tblPr/>
  </w:style>
  <w:style w:type="table" w:styleId="982" w:customStyle="1">
    <w:name w:val="List Table 1 Light - Accent 4"/>
    <w:basedOn w:val="807"/>
    <w:uiPriority w:val="0"/>
    <w:qFormat/>
    <w:tblPr/>
  </w:style>
  <w:style w:type="table" w:styleId="983" w:customStyle="1">
    <w:name w:val="Bordered &amp; Lined - Accent"/>
    <w:basedOn w:val="807"/>
    <w:uiPriority w:val="0"/>
    <w:qFormat/>
    <w:rPr>
      <w:color w:val="404040"/>
    </w:rPr>
    <w:tblPr/>
  </w:style>
  <w:style w:type="table" w:styleId="984" w:customStyle="1">
    <w:name w:val="Grid Table 2 - Accent 5"/>
    <w:basedOn w:val="807"/>
    <w:uiPriority w:val="0"/>
    <w:qFormat/>
    <w:tblPr/>
  </w:style>
  <w:style w:type="table" w:styleId="985" w:customStyle="1">
    <w:name w:val="Grid Table 1 Light - Accent 3"/>
    <w:basedOn w:val="807"/>
    <w:uiPriority w:val="0"/>
    <w:qFormat/>
    <w:tblPr/>
  </w:style>
  <w:style w:type="table" w:styleId="986" w:customStyle="1">
    <w:name w:val="Grid Table 5 Dark - Accent 6"/>
    <w:basedOn w:val="807"/>
    <w:uiPriority w:val="0"/>
    <w:qFormat/>
    <w:tblPr/>
  </w:style>
  <w:style w:type="table" w:styleId="987" w:customStyle="1">
    <w:name w:val="Grid Table 5 Dark - Accent 3"/>
    <w:basedOn w:val="807"/>
    <w:uiPriority w:val="0"/>
    <w:qFormat/>
    <w:tblPr/>
  </w:style>
  <w:style w:type="table" w:styleId="988" w:customStyle="1">
    <w:name w:val="Grid Table 7 Colorful - Accent 2"/>
    <w:basedOn w:val="807"/>
    <w:uiPriority w:val="0"/>
    <w:qFormat/>
    <w:tblPr/>
  </w:style>
  <w:style w:type="table" w:styleId="989" w:customStyle="1">
    <w:name w:val="Bordered"/>
    <w:basedOn w:val="807"/>
    <w:uiPriority w:val="0"/>
    <w:qFormat/>
    <w:tblPr/>
  </w:style>
  <w:style w:type="table" w:styleId="990" w:customStyle="1">
    <w:name w:val="List Table 6 Colorful - Accent 4"/>
    <w:basedOn w:val="807"/>
    <w:uiPriority w:val="0"/>
    <w:qFormat/>
    <w:tblPr/>
  </w:style>
  <w:style w:type="table" w:styleId="991" w:customStyle="1">
    <w:name w:val="Grid Table 4 - Accent 2"/>
    <w:basedOn w:val="807"/>
    <w:uiPriority w:val="0"/>
    <w:qFormat/>
    <w:tblPr/>
  </w:style>
  <w:style w:type="table" w:styleId="992" w:customStyle="1">
    <w:name w:val="Bordered - Accent 2"/>
    <w:basedOn w:val="807"/>
    <w:uiPriority w:val="0"/>
    <w:qFormat/>
    <w:tblPr/>
  </w:style>
  <w:style w:type="table" w:styleId="993" w:customStyle="1">
    <w:name w:val="List Table 3 - Accent 6"/>
    <w:basedOn w:val="807"/>
    <w:uiPriority w:val="0"/>
    <w:qFormat/>
    <w:tblPr/>
  </w:style>
  <w:style w:type="table" w:styleId="994" w:customStyle="1">
    <w:name w:val="Grid Table 1 Light - Accent 6"/>
    <w:basedOn w:val="807"/>
    <w:uiPriority w:val="0"/>
    <w:qFormat/>
    <w:tblPr/>
  </w:style>
  <w:style w:type="table" w:styleId="995" w:customStyle="1">
    <w:name w:val="Grid Table 7 Colorful - Accent 4"/>
    <w:basedOn w:val="807"/>
    <w:uiPriority w:val="0"/>
    <w:qFormat/>
    <w:tblPr/>
  </w:style>
  <w:style w:type="table" w:styleId="996" w:customStyle="1">
    <w:name w:val="Bordered &amp; Lined - Accent 2"/>
    <w:basedOn w:val="807"/>
    <w:uiPriority w:val="0"/>
    <w:qFormat/>
    <w:rPr>
      <w:color w:val="404040"/>
    </w:rPr>
    <w:tblPr/>
  </w:style>
  <w:style w:type="table" w:styleId="997" w:customStyle="1">
    <w:name w:val="Lined - Accent 4"/>
    <w:basedOn w:val="807"/>
    <w:uiPriority w:val="0"/>
    <w:qFormat/>
    <w:rPr>
      <w:color w:val="404040"/>
    </w:rPr>
    <w:tblPr/>
  </w:style>
  <w:style w:type="table" w:styleId="998" w:customStyle="1">
    <w:name w:val="Lined - Accent 2"/>
    <w:basedOn w:val="807"/>
    <w:uiPriority w:val="0"/>
    <w:qFormat/>
    <w:rPr>
      <w:color w:val="404040"/>
    </w:rPr>
    <w:tblPr/>
  </w:style>
  <w:style w:type="table" w:styleId="999" w:customStyle="1">
    <w:name w:val="List Table 3 - Accent 1"/>
    <w:basedOn w:val="807"/>
    <w:uiPriority w:val="0"/>
    <w:qFormat/>
    <w:tblPr/>
  </w:style>
  <w:style w:type="table" w:styleId="1000" w:customStyle="1">
    <w:name w:val="List Table 1 Light - Accent 2"/>
    <w:basedOn w:val="807"/>
    <w:uiPriority w:val="0"/>
    <w:qFormat/>
    <w:tblPr/>
  </w:style>
  <w:style w:type="table" w:styleId="1001" w:customStyle="1">
    <w:name w:val="List Table 5 Dark - Accent 1"/>
    <w:basedOn w:val="807"/>
    <w:uiPriority w:val="0"/>
    <w:qFormat/>
    <w:tblPr/>
  </w:style>
  <w:style w:type="table" w:styleId="1002" w:customStyle="1">
    <w:name w:val="List Table 3 - Accent 3"/>
    <w:basedOn w:val="807"/>
    <w:uiPriority w:val="0"/>
    <w:qFormat/>
    <w:tblPr/>
  </w:style>
  <w:style w:type="table" w:styleId="1003" w:customStyle="1">
    <w:name w:val="Grid Table 5 Dark- Accent 4"/>
    <w:basedOn w:val="807"/>
    <w:uiPriority w:val="0"/>
    <w:qFormat/>
    <w:tblPr/>
  </w:style>
  <w:style w:type="table" w:styleId="1004" w:customStyle="1">
    <w:name w:val="Bordered &amp; Lined - Accent 4"/>
    <w:basedOn w:val="807"/>
    <w:uiPriority w:val="0"/>
    <w:qFormat/>
    <w:rPr>
      <w:color w:val="404040"/>
    </w:rPr>
    <w:tblPr/>
  </w:style>
  <w:style w:type="table" w:styleId="1005" w:customStyle="1">
    <w:name w:val="Grid Table 1 Light - Accent 5"/>
    <w:basedOn w:val="807"/>
    <w:uiPriority w:val="0"/>
    <w:qFormat/>
    <w:tblPr/>
  </w:style>
  <w:style w:type="table" w:styleId="1006" w:customStyle="1">
    <w:name w:val="List Table 5 Dark - Accent 2"/>
    <w:basedOn w:val="807"/>
    <w:uiPriority w:val="0"/>
    <w:qFormat/>
    <w:tblPr/>
  </w:style>
  <w:style w:type="table" w:styleId="1007" w:customStyle="1">
    <w:name w:val="List Table 1 Light - Accent 1"/>
    <w:basedOn w:val="807"/>
    <w:uiPriority w:val="0"/>
    <w:qFormat/>
    <w:tblPr/>
  </w:style>
  <w:style w:type="table" w:styleId="1008" w:customStyle="1">
    <w:name w:val="Grid Table 7 Colorful - Accent 5"/>
    <w:basedOn w:val="807"/>
    <w:uiPriority w:val="0"/>
    <w:qFormat/>
    <w:tblPr/>
  </w:style>
  <w:style w:type="table" w:styleId="1009" w:customStyle="1">
    <w:name w:val="Grid Table 6 Colorful - Accent 4"/>
    <w:basedOn w:val="807"/>
    <w:uiPriority w:val="0"/>
    <w:qFormat/>
    <w:tblPr/>
  </w:style>
  <w:style w:type="table" w:styleId="1010" w:customStyle="1">
    <w:name w:val="List Table 1 Light - Accent 3"/>
    <w:basedOn w:val="807"/>
    <w:uiPriority w:val="0"/>
    <w:qFormat/>
    <w:tblPr/>
  </w:style>
  <w:style w:type="table" w:styleId="1011" w:customStyle="1">
    <w:name w:val="List Table 4 - Accent 1"/>
    <w:basedOn w:val="807"/>
    <w:uiPriority w:val="0"/>
    <w:qFormat/>
    <w:tblPr/>
  </w:style>
  <w:style w:type="table" w:styleId="1012" w:customStyle="1">
    <w:name w:val="Grid Table 3 - Accent 6"/>
    <w:basedOn w:val="807"/>
    <w:uiPriority w:val="0"/>
    <w:qFormat/>
    <w:tblPr/>
  </w:style>
  <w:style w:type="table" w:styleId="1013" w:customStyle="1">
    <w:name w:val="List Table 1 Light - Accent 6"/>
    <w:basedOn w:val="807"/>
    <w:uiPriority w:val="0"/>
    <w:qFormat/>
    <w:tblPr/>
  </w:style>
  <w:style w:type="table" w:styleId="1014" w:customStyle="1">
    <w:name w:val="List Table 5 Dark - Accent 4"/>
    <w:basedOn w:val="807"/>
    <w:uiPriority w:val="0"/>
    <w:qFormat/>
    <w:tblPr/>
  </w:style>
  <w:style w:type="table" w:styleId="1015" w:customStyle="1">
    <w:name w:val="Grid Table 5 Dark- Accent 1"/>
    <w:basedOn w:val="807"/>
    <w:uiPriority w:val="0"/>
    <w:qFormat/>
    <w:tblPr/>
  </w:style>
  <w:style w:type="table" w:styleId="1016" w:customStyle="1">
    <w:name w:val="List Table 3 - Accent 2"/>
    <w:basedOn w:val="807"/>
    <w:uiPriority w:val="0"/>
    <w:qFormat/>
    <w:tblPr/>
  </w:style>
  <w:style w:type="table" w:styleId="1017" w:customStyle="1">
    <w:name w:val="Lined - Accent 1"/>
    <w:basedOn w:val="807"/>
    <w:uiPriority w:val="0"/>
    <w:qFormat/>
    <w:rPr>
      <w:color w:val="404040"/>
    </w:rPr>
    <w:tblPr/>
  </w:style>
  <w:style w:type="table" w:styleId="1018" w:customStyle="1">
    <w:name w:val="Grid Table 1 Light - Accent 1"/>
    <w:basedOn w:val="807"/>
    <w:uiPriority w:val="0"/>
    <w:qFormat/>
    <w:tblPr/>
  </w:style>
  <w:style w:type="table" w:styleId="1019" w:customStyle="1">
    <w:name w:val="Grid Table 2 - Accent 4"/>
    <w:basedOn w:val="807"/>
    <w:uiPriority w:val="0"/>
    <w:qFormat/>
    <w:tblPr/>
  </w:style>
  <w:style w:type="table" w:styleId="1020" w:customStyle="1">
    <w:name w:val="List Table 6 Colorful - Accent 5"/>
    <w:basedOn w:val="807"/>
    <w:uiPriority w:val="0"/>
    <w:qFormat/>
    <w:tblPr/>
  </w:style>
  <w:style w:type="table" w:styleId="1021" w:customStyle="1">
    <w:name w:val="List Table 5 Dark - Accent 6"/>
    <w:basedOn w:val="807"/>
    <w:uiPriority w:val="0"/>
    <w:qFormat/>
    <w:tblPr/>
  </w:style>
  <w:style w:type="table" w:styleId="1022" w:customStyle="1">
    <w:name w:val="Grid Table 6 Colorful - Accent 1"/>
    <w:basedOn w:val="807"/>
    <w:uiPriority w:val="0"/>
    <w:qFormat/>
    <w:tblPr/>
  </w:style>
  <w:style w:type="table" w:styleId="1023" w:customStyle="1">
    <w:name w:val="List Table 3 - Accent 5"/>
    <w:basedOn w:val="807"/>
    <w:uiPriority w:val="0"/>
    <w:qFormat/>
    <w:tblPr/>
  </w:style>
  <w:style w:type="table" w:styleId="1024" w:customStyle="1">
    <w:name w:val="Grid Table 1 Light - Accent 4"/>
    <w:basedOn w:val="807"/>
    <w:uiPriority w:val="0"/>
    <w:qFormat/>
    <w:tblPr/>
  </w:style>
  <w:style w:type="table" w:styleId="1025" w:customStyle="1">
    <w:name w:val="List Table 6 Colorful - Accent 1"/>
    <w:basedOn w:val="807"/>
    <w:uiPriority w:val="0"/>
    <w:qFormat/>
    <w:tblPr/>
  </w:style>
  <w:style w:type="table" w:styleId="1026" w:customStyle="1">
    <w:name w:val="List Table 2 - Accent 6"/>
    <w:basedOn w:val="807"/>
    <w:uiPriority w:val="0"/>
    <w:qFormat/>
    <w:tblPr/>
  </w:style>
  <w:style w:type="table" w:styleId="1027" w:customStyle="1">
    <w:name w:val="List Table 1 Light - Accent 5"/>
    <w:basedOn w:val="807"/>
    <w:uiPriority w:val="0"/>
    <w:qFormat/>
    <w:tblPr/>
  </w:style>
  <w:style w:type="character" w:styleId="1028" w:customStyle="1">
    <w:name w:val="批注框文本 字符"/>
    <w:basedOn w:val="736"/>
    <w:link w:val="752"/>
    <w:uiPriority w:val="99"/>
    <w:semiHidden/>
    <w:qFormat/>
    <w:rPr>
      <w:sz w:val="18"/>
      <w:szCs w:val="18"/>
    </w:rPr>
  </w:style>
  <w:style w:type="paragraph" w:styleId="1029" w:customStyle="1">
    <w:name w:val="正文121"/>
    <w:next w:val="1030"/>
    <w:uiPriority w:val="0"/>
    <w:qFormat/>
    <w:pPr>
      <w:jc w:val="both"/>
      <w:widowControl w:val="off"/>
    </w:pPr>
    <w:rPr>
      <w:rFonts w:hint="default" w:ascii="Calibri" w:hAnsi="Calibri" w:eastAsia="宋体" w:cs="Times New Roman"/>
      <w:sz w:val="21"/>
      <w:szCs w:val="24"/>
    </w:rPr>
  </w:style>
  <w:style w:type="paragraph" w:styleId="1030" w:customStyle="1">
    <w:name w:val="BlockQuote"/>
    <w:basedOn w:val="1029"/>
    <w:uiPriority w:val="0"/>
    <w:qFormat/>
    <w:pPr>
      <w:ind w:left="256" w:right="6" w:firstLine="624"/>
    </w:pPr>
    <w:rPr>
      <w:rFonts w:eastAsia="仿宋_GB2312"/>
      <w:sz w:val="28"/>
    </w:rPr>
  </w:style>
  <w:style w:type="character" w:styleId="1031" w:customStyle="1">
    <w:name w:val="正文文本 字符"/>
    <w:basedOn w:val="736"/>
    <w:link w:val="744"/>
    <w:uiPriority w:val="0"/>
    <w:qFormat/>
    <w:rPr>
      <w:sz w:val="21"/>
      <w:szCs w:val="24"/>
    </w:rPr>
  </w:style>
  <w:style w:type="character" w:styleId="1032" w:customStyle="1">
    <w:name w:val="font11"/>
    <w:basedOn w:val="736"/>
    <w:uiPriority w:val="0"/>
    <w:qFormat/>
    <w:rPr>
      <w:rFonts w:hint="eastAsia" w:ascii="宋体" w:hAnsi="宋体" w:eastAsia="宋体" w:cs="宋体"/>
      <w:color w:val="000000"/>
      <w:sz w:val="24"/>
      <w:szCs w:val="24"/>
      <w:u w:val="none"/>
    </w:rPr>
  </w:style>
  <w:style w:type="character" w:styleId="1033" w:customStyle="1">
    <w:name w:val="正文文本缩进 字符"/>
    <w:basedOn w:val="736"/>
    <w:link w:val="745"/>
    <w:uiPriority w:val="99"/>
    <w:semiHidden/>
    <w:qFormat/>
    <w:rPr>
      <w:rFonts w:ascii="Calibri" w:hAnsi="Calibri"/>
    </w:rPr>
  </w:style>
  <w:style w:type="character" w:styleId="1034" w:customStyle="1">
    <w:name w:val="NormalCharacter"/>
    <w:link w:val="777"/>
    <w:uiPriority w:val="0"/>
    <w:semiHidden/>
    <w:qFormat/>
    <w:rPr>
      <w:rFonts w:hint="default" w:ascii="Calibri" w:hAnsi="Calibri" w:eastAsia="Calibri" w:cs="Times New Roman"/>
      <w:sz w:val="21"/>
      <w:szCs w:val="24"/>
      <w:lang w:val="en-US" w:eastAsia="zh-CN" w:bidi="ar-SA"/>
    </w:rPr>
  </w:style>
  <w:style w:type="paragraph" w:styleId="1035" w:customStyle="1">
    <w:name w:val="首行缩进"/>
    <w:basedOn w:val="726"/>
    <w:uiPriority w:val="99"/>
    <w:qFormat/>
    <w:pPr>
      <w:ind w:firstLine="480"/>
      <w:spacing w:line="360" w:lineRule="auto"/>
    </w:pPr>
    <w:rPr>
      <w:rFonts w:ascii="Calibri" w:hAnsi="Calibri" w:eastAsia="微软雅黑"/>
      <w:sz w:val="24"/>
      <w:szCs w:val="22"/>
      <w:lang w:val="zh-CN"/>
    </w:rPr>
  </w:style>
  <w:style w:type="paragraph" w:styleId="1036" w:customStyle="1">
    <w:name w:val="Table Paragraph"/>
    <w:basedOn w:val="726"/>
    <w:uiPriority w:val="1"/>
    <w:qFormat/>
    <w:pPr>
      <w:jc w:val="left"/>
    </w:pPr>
    <w:rPr>
      <w:rFonts w:ascii="宋体" w:hAnsi="宋体" w:eastAsia="宋体" w:cs="宋体"/>
      <w:sz w:val="22"/>
      <w:szCs w:val="22"/>
      <w:lang w:eastAsia="en-US"/>
    </w:rPr>
  </w:style>
  <w:style w:type="paragraph" w:styleId="1037" w:customStyle="1">
    <w:name w:val="正文文本11"/>
    <w:basedOn w:val="770"/>
    <w:next w:val="770"/>
    <w:uiPriority w:val="0"/>
    <w:qFormat/>
    <w:pPr>
      <w:spacing w:after="120"/>
    </w:pPr>
  </w:style>
  <w:style w:type="paragraph" w:styleId="1038" w:customStyle="1">
    <w:name w:val="文本块11"/>
    <w:basedOn w:val="777"/>
    <w:uiPriority w:val="0"/>
    <w:qFormat/>
    <w:pPr>
      <w:ind w:left="567" w:right="454" w:firstLine="498"/>
      <w:jc w:val="left"/>
      <w:widowControl/>
    </w:pPr>
    <w:rPr>
      <w:rFonts w:ascii="FangSong_GB2312" w:eastAsia="FangSong_GB2312"/>
      <w:sz w:val="30"/>
      <w:szCs w:val="20"/>
    </w:rPr>
  </w:style>
  <w:style w:type="paragraph" w:styleId="1039"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040" w:customStyle="1">
    <w:name w:val="Table Normal"/>
    <w:uiPriority w:val="0"/>
    <w:unhideWhenUsed/>
    <w:qFormat/>
    <w:tblPr>
      <w:tblCellMar>
        <w:left w:w="0" w:type="dxa"/>
        <w:top w:w="0" w:type="dxa"/>
        <w:right w:w="0" w:type="dxa"/>
        <w:bottom w:w="0" w:type="dxa"/>
      </w:tblCellMar>
    </w:tblPr>
  </w:style>
  <w:style w:type="paragraph" w:styleId="1041" w:customStyle="1">
    <w:name w:val="正文文本112"/>
    <w:basedOn w:val="726"/>
    <w:next w:val="779"/>
    <w:uiPriority w:val="0"/>
    <w:qFormat/>
    <w:pPr>
      <w:spacing w:after="120"/>
    </w:pPr>
    <w:rPr>
      <w:rFonts w:ascii="Times New Roman" w:hAnsi="Times New Roman"/>
    </w:rPr>
  </w:style>
  <w:style w:type="paragraph" w:styleId="1042" w:customStyle="1">
    <w:name w:val="正文缩进11"/>
    <w:basedOn w:val="726"/>
    <w:uiPriority w:val="99"/>
    <w:qFormat/>
    <w:pPr>
      <w:ind w:firstLine="480"/>
      <w:keepNext/>
      <w:spacing w:line="480" w:lineRule="exact"/>
    </w:pPr>
    <w:rPr>
      <w:rFonts w:ascii="宋体" w:hAnsi="宋体" w:eastAsia="等线"/>
      <w:bCs/>
      <w:color w:val="000000"/>
      <w:sz w:val="24"/>
      <w:lang w:val="zh-CN"/>
    </w:rPr>
  </w:style>
  <w:style w:type="character" w:styleId="1043" w:customStyle="1">
    <w:name w:val="font71"/>
    <w:basedOn w:val="736"/>
    <w:uiPriority w:val="0"/>
    <w:qFormat/>
    <w:rPr>
      <w:rFonts w:hint="eastAsia" w:ascii="宋体" w:hAnsi="宋体" w:eastAsia="宋体" w:cs="宋体"/>
      <w:b/>
      <w:bCs/>
      <w:color w:val="000000"/>
      <w:sz w:val="22"/>
      <w:szCs w:val="22"/>
      <w:u w:val="none"/>
    </w:rPr>
  </w:style>
  <w:style w:type="character" w:styleId="1044" w:customStyle="1">
    <w:name w:val="font41"/>
    <w:basedOn w:val="736"/>
    <w:uiPriority w:val="0"/>
    <w:qFormat/>
    <w:rPr>
      <w:rFonts w:hint="eastAsia" w:ascii="宋体" w:hAnsi="宋体" w:eastAsia="宋体" w:cs="宋体"/>
      <w:color w:val="000000"/>
      <w:sz w:val="22"/>
      <w:szCs w:val="22"/>
      <w:u w:val="none"/>
    </w:rPr>
  </w:style>
  <w:style w:type="character" w:styleId="1045" w:customStyle="1">
    <w:name w:val="font91"/>
    <w:basedOn w:val="736"/>
    <w:uiPriority w:val="0"/>
    <w:qFormat/>
    <w:rPr>
      <w:rFonts w:hint="eastAsia" w:ascii="宋体" w:hAnsi="宋体" w:eastAsia="宋体" w:cs="宋体"/>
      <w:b/>
      <w:bCs/>
      <w:color w:val="000000"/>
      <w:sz w:val="22"/>
      <w:szCs w:val="22"/>
      <w:u w:val="none"/>
    </w:rPr>
  </w:style>
  <w:style w:type="character" w:styleId="1046" w:customStyle="1">
    <w:name w:val="font61"/>
    <w:basedOn w:val="736"/>
    <w:uiPriority w:val="0"/>
    <w:qFormat/>
    <w:rPr>
      <w:rFonts w:hint="eastAsia" w:ascii="宋体" w:hAnsi="宋体" w:eastAsia="宋体" w:cs="宋体"/>
      <w:color w:val="000000"/>
      <w:sz w:val="22"/>
      <w:szCs w:val="22"/>
      <w:u w:val="none"/>
    </w:rPr>
  </w:style>
  <w:style w:type="character" w:styleId="1047" w:customStyle="1">
    <w:name w:val="NormalCharacter1"/>
    <w:link w:val="770"/>
    <w:uiPriority w:val="0"/>
    <w:semiHidden/>
    <w:qFormat/>
    <w:rPr>
      <w:rFonts w:hint="default" w:ascii="Times New Roman" w:hAnsi="Times New Roman" w:eastAsia="宋体" w:cs="Times New Roman"/>
      <w:sz w:val="21"/>
      <w:szCs w:val="24"/>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jscz</dc:creator>
  <cp:lastModifiedBy>宋宇静</cp:lastModifiedBy>
  <cp:revision>11</cp:revision>
  <dcterms:created xsi:type="dcterms:W3CDTF">2023-04-04T07:14:00Z</dcterms:created>
  <dcterms:modified xsi:type="dcterms:W3CDTF">2025-11-18T04:36:38Z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6C277BF329614EBCAE3EC756B95201BA_13</vt:lpwstr>
  </property>
  <property fmtid="{D5CDD505-2E9C-101B-9397-08002B2CF9AE}" pid="4" name="KSOTemplateDocerSaveRecord">
    <vt:lpwstr>eyJoZGlkIjoiNzBhYzI3MDk3ZTdkZmExMjIwNzI2NTIyY2ZkODFkM2EiLCJ1c2VySWQiOiI0OTI3MjkzMTIifQ==</vt:lpwstr>
  </property>
</Properties>
</file>